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7D7A29" w14:textId="3AADE44F" w:rsidR="00ED4B4A" w:rsidRDefault="00E96CE1" w:rsidP="003342AF">
      <w:pPr>
        <w:spacing w:before="100" w:beforeAutospacing="1" w:after="100" w:afterAutospacing="1" w:line="259" w:lineRule="auto"/>
        <w:jc w:val="center"/>
        <w:rPr>
          <w:rFonts w:ascii="Arial" w:hAnsi="Arial" w:cs="Arial"/>
          <w:sz w:val="36"/>
          <w:szCs w:val="36"/>
          <w:lang w:val="pt-PT"/>
        </w:rPr>
      </w:pPr>
      <w:r w:rsidRPr="00972B1C">
        <w:rPr>
          <w:rFonts w:ascii="Arial" w:eastAsia="Times New Roman" w:hAnsi="Arial" w:cs="Arial"/>
          <w:b/>
          <w:bCs/>
          <w:kern w:val="36"/>
          <w:sz w:val="32"/>
          <w:szCs w:val="32"/>
          <w:lang w:val="pt-PT" w:eastAsia="es-ES"/>
        </w:rPr>
        <w:t xml:space="preserve">BenQ </w:t>
      </w:r>
      <w:r w:rsidR="00ED4B4A">
        <w:rPr>
          <w:rFonts w:ascii="Arial" w:eastAsia="Times New Roman" w:hAnsi="Arial" w:cs="Arial"/>
          <w:b/>
          <w:bCs/>
          <w:kern w:val="36"/>
          <w:sz w:val="32"/>
          <w:szCs w:val="32"/>
          <w:lang w:val="pt-PT" w:eastAsia="es-ES"/>
        </w:rPr>
        <w:t xml:space="preserve">lança dois novos monitores e um suporte ergonómico para revolucionar </w:t>
      </w:r>
      <w:r w:rsidR="003342AF">
        <w:rPr>
          <w:rFonts w:ascii="Arial" w:eastAsia="Times New Roman" w:hAnsi="Arial" w:cs="Arial"/>
          <w:b/>
          <w:bCs/>
          <w:kern w:val="36"/>
          <w:sz w:val="32"/>
          <w:szCs w:val="32"/>
          <w:lang w:val="pt-PT" w:eastAsia="es-ES"/>
        </w:rPr>
        <w:t>o mundo do design</w:t>
      </w:r>
    </w:p>
    <w:p w14:paraId="013AC045" w14:textId="2BFCF68E" w:rsidR="00724DC1" w:rsidRPr="00972B1C" w:rsidRDefault="00ED4B4A" w:rsidP="003342AF">
      <w:pPr>
        <w:spacing w:before="100" w:beforeAutospacing="1" w:after="100" w:afterAutospacing="1" w:line="259" w:lineRule="auto"/>
        <w:jc w:val="center"/>
        <w:rPr>
          <w:rFonts w:ascii="Arial" w:hAnsi="Arial" w:cs="Arial"/>
          <w:b/>
          <w:bCs/>
          <w:sz w:val="22"/>
          <w:lang w:val="pt-PT"/>
        </w:rPr>
      </w:pPr>
      <w:r>
        <w:rPr>
          <w:noProof/>
        </w:rPr>
        <w:drawing>
          <wp:inline distT="0" distB="0" distL="0" distR="0" wp14:anchorId="520D7801" wp14:editId="018F1F7A">
            <wp:extent cx="1800225" cy="1800225"/>
            <wp:effectExtent l="0" t="0" r="9525" b="9525"/>
            <wp:docPr id="1555751116" name="Picture 1" descr="A computer monitor with a colorful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5751116" name="Picture 1" descr="A computer monitor with a colorful backgrou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4B4A">
        <w:t xml:space="preserve"> </w:t>
      </w:r>
      <w:r>
        <w:rPr>
          <w:noProof/>
        </w:rPr>
        <w:drawing>
          <wp:inline distT="0" distB="0" distL="0" distR="0" wp14:anchorId="58151DFF" wp14:editId="1050A9CF">
            <wp:extent cx="1800225" cy="1800225"/>
            <wp:effectExtent l="0" t="0" r="9525" b="9525"/>
            <wp:docPr id="1238747703" name="Picture 2" descr="A black computer arm with a square object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8747703" name="Picture 2" descr="A black computer arm with a square object on i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4B4A">
        <w:t xml:space="preserve"> </w:t>
      </w:r>
      <w:r>
        <w:rPr>
          <w:noProof/>
        </w:rPr>
        <w:drawing>
          <wp:inline distT="0" distB="0" distL="0" distR="0" wp14:anchorId="68832634" wp14:editId="664F6E8B">
            <wp:extent cx="1804035" cy="1804035"/>
            <wp:effectExtent l="0" t="0" r="5715" b="5715"/>
            <wp:docPr id="1823416102" name="Picture 3" descr="A computer monitor with a colorful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416102" name="Picture 3" descr="A computer monitor with a colorful backgrou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035" cy="180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5ED61" w14:textId="0EAD8E74" w:rsidR="00A7325E" w:rsidRPr="00A7325E" w:rsidRDefault="00E96CE1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b/>
          <w:bCs/>
          <w:sz w:val="22"/>
          <w:szCs w:val="22"/>
          <w:lang w:val="pt-PT"/>
        </w:rPr>
        <w:t>L</w:t>
      </w:r>
      <w:r w:rsidR="00972B1C" w:rsidRPr="00A7325E">
        <w:rPr>
          <w:rFonts w:ascii="Arial" w:hAnsi="Arial" w:cs="Arial"/>
          <w:b/>
          <w:bCs/>
          <w:sz w:val="22"/>
          <w:szCs w:val="22"/>
          <w:lang w:val="pt-PT"/>
        </w:rPr>
        <w:t>isboa</w:t>
      </w:r>
      <w:r w:rsidRPr="00A7325E">
        <w:rPr>
          <w:rFonts w:ascii="Arial" w:hAnsi="Arial" w:cs="Arial"/>
          <w:b/>
          <w:bCs/>
          <w:sz w:val="22"/>
          <w:szCs w:val="22"/>
          <w:lang w:val="pt-PT"/>
        </w:rPr>
        <w:t xml:space="preserve">, </w:t>
      </w:r>
      <w:r w:rsidR="00A7325E" w:rsidRPr="00A7325E">
        <w:rPr>
          <w:rFonts w:ascii="Arial" w:hAnsi="Arial" w:cs="Arial"/>
          <w:b/>
          <w:bCs/>
          <w:sz w:val="22"/>
          <w:szCs w:val="22"/>
          <w:lang w:val="pt-PT"/>
        </w:rPr>
        <w:t>7</w:t>
      </w:r>
      <w:r w:rsidRPr="00A7325E">
        <w:rPr>
          <w:rFonts w:ascii="Arial" w:hAnsi="Arial" w:cs="Arial"/>
          <w:b/>
          <w:bCs/>
          <w:sz w:val="22"/>
          <w:szCs w:val="22"/>
          <w:lang w:val="pt-PT"/>
        </w:rPr>
        <w:t xml:space="preserve"> de abril de 202</w:t>
      </w:r>
      <w:r w:rsidR="00A7325E" w:rsidRPr="00A7325E">
        <w:rPr>
          <w:rFonts w:ascii="Arial" w:hAnsi="Arial" w:cs="Arial"/>
          <w:b/>
          <w:bCs/>
          <w:sz w:val="22"/>
          <w:szCs w:val="22"/>
          <w:lang w:val="pt-PT"/>
        </w:rPr>
        <w:t>5</w:t>
      </w:r>
      <w:r w:rsidRPr="00A7325E">
        <w:rPr>
          <w:rFonts w:ascii="Arial" w:hAnsi="Arial" w:cs="Arial"/>
          <w:b/>
          <w:bCs/>
          <w:sz w:val="22"/>
          <w:szCs w:val="22"/>
          <w:lang w:val="pt-PT"/>
        </w:rPr>
        <w:t xml:space="preserve"> </w:t>
      </w:r>
      <w:r w:rsidR="00792A77" w:rsidRPr="00A7325E">
        <w:rPr>
          <w:rFonts w:ascii="Arial" w:hAnsi="Arial" w:cs="Arial"/>
          <w:sz w:val="22"/>
          <w:szCs w:val="22"/>
          <w:lang w:val="pt-PT"/>
        </w:rPr>
        <w:t xml:space="preserve">– </w:t>
      </w:r>
      <w:r w:rsidRPr="00A7325E">
        <w:rPr>
          <w:rFonts w:ascii="Arial" w:hAnsi="Arial" w:cs="Arial"/>
          <w:sz w:val="22"/>
          <w:szCs w:val="22"/>
          <w:lang w:val="pt-PT"/>
        </w:rPr>
        <w:t>A</w:t>
      </w:r>
      <w:r w:rsidR="00A7325E" w:rsidRPr="00A7325E">
        <w:rPr>
          <w:rFonts w:ascii="Arial" w:hAnsi="Arial" w:cs="Arial"/>
          <w:sz w:val="22"/>
          <w:szCs w:val="22"/>
          <w:lang w:val="pt-PT"/>
        </w:rPr>
        <w:t xml:space="preserve"> BenQ, fabricante de monitores profissionais para fotógrafos, videógrafos e designers distribuída em Portugal pela Robisa, anuncia o lançamento de dois novos monitores e um suporte ergonómico: o PD2730S, o PD3226G e o Ergo Arm BSH01.</w:t>
      </w:r>
    </w:p>
    <w:p w14:paraId="4530A849" w14:textId="77777777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O PD2730S é um monitor de 27” com resolução 5K (5120x2880) que redefine os padrões de precisão de cor, contraste e conetividade. Concebido para criativos que procuram a excelência visual, o PD2730S é a ferramenta ideal para designers gráficos, editores de vídeo, artistas 3D e profissionais de conteúdos visuais.</w:t>
      </w:r>
    </w:p>
    <w:p w14:paraId="76B4D0B5" w14:textId="45A757D0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O PD3226G é um monitor 4K de 32” e 144Hz concebido para profissionais de desenvolvimento de jogos, animação e efeitos visuais, oferecendo uma combinação perfeita de precisão, desempenho e versatilidade.</w:t>
      </w:r>
    </w:p>
    <w:p w14:paraId="11B7A7F1" w14:textId="77777777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O Ergo Arm BSH01 é um suporte ergonómico para monitores que foi concebido para otimizar a experiência de trabalho. Este braço ajustável permite uma integração perfeita com uma vasta gama de monitores e proporciona estabilidade, conforto e ordem no ambiente de trabalho.</w:t>
      </w:r>
    </w:p>
    <w:p w14:paraId="4DB28983" w14:textId="77777777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b/>
          <w:bCs/>
          <w:sz w:val="22"/>
          <w:szCs w:val="22"/>
          <w:lang w:val="pt-PT"/>
        </w:rPr>
      </w:pPr>
      <w:r w:rsidRPr="00A7325E">
        <w:rPr>
          <w:rFonts w:ascii="Arial" w:hAnsi="Arial" w:cs="Arial"/>
          <w:b/>
          <w:bCs/>
          <w:sz w:val="22"/>
          <w:szCs w:val="22"/>
          <w:lang w:val="pt-PT"/>
        </w:rPr>
        <w:t>Principais características</w:t>
      </w:r>
    </w:p>
    <w:p w14:paraId="52448DB0" w14:textId="3203936C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i/>
          <w:iCs/>
          <w:sz w:val="22"/>
          <w:szCs w:val="22"/>
          <w:lang w:val="pt-PT"/>
        </w:rPr>
      </w:pPr>
      <w:r w:rsidRPr="00A7325E">
        <w:rPr>
          <w:rFonts w:ascii="Arial" w:hAnsi="Arial" w:cs="Arial"/>
          <w:i/>
          <w:iCs/>
          <w:sz w:val="22"/>
          <w:szCs w:val="22"/>
          <w:lang w:val="pt-PT"/>
        </w:rPr>
        <w:t>PD2730S</w:t>
      </w:r>
      <w:r w:rsidR="003342AF">
        <w:rPr>
          <w:rFonts w:ascii="Arial" w:hAnsi="Arial" w:cs="Arial"/>
          <w:i/>
          <w:iCs/>
          <w:sz w:val="22"/>
          <w:szCs w:val="22"/>
          <w:lang w:val="pt-PT"/>
        </w:rPr>
        <w:br/>
      </w:r>
      <w:r w:rsidRPr="00A7325E">
        <w:rPr>
          <w:rFonts w:ascii="Arial" w:hAnsi="Arial" w:cs="Arial"/>
          <w:sz w:val="22"/>
          <w:szCs w:val="22"/>
          <w:lang w:val="pt-PT"/>
        </w:rPr>
        <w:t>A tecnologia AQCOLOR da BenQ garante uma reprodução de cor sem falhas. Além disso, o monitor possui calibração de fábrica, certificações Calman Verified, Pantone Validated e Pantone SkinTone, assegurando uma fidelidade de cor excecional para projetos profissionais.</w:t>
      </w:r>
    </w:p>
    <w:p w14:paraId="2AFC843D" w14:textId="44055713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Quer esteja a visualizar cenas extensas, a aperfeiçoar texturas detalhadas ou a renderizar efeitos complexos de luz e sombra, o ecrã 5K proporciona uma resolução perfeita e uma composição impecável, captando todos os elementos com precisão no seu fluxo de trabalho criativo. Visualize todos os detalhes com mais espaço de trabalho.</w:t>
      </w:r>
    </w:p>
    <w:p w14:paraId="3469CFD5" w14:textId="3B9C9F42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lastRenderedPageBreak/>
        <w:t>Graças à sua alta relação de contraste e à tecnologia avançada de reprodução de tons escuros, o PD2730S proporciona pretos profundos e uma hierarquia tonal melhorada. Isto é essencial para os profissionais que trabalham em efeitos visuais, animação e retoque de fotografias, garantindo detalhes ricos em cada transição de sombra e luz.</w:t>
      </w:r>
    </w:p>
    <w:p w14:paraId="5A56F6A5" w14:textId="77777777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Equipado com Thunderbolt 4, o monitor suporta transferência de dados a 40Gbps, alimentação de 90W e ligação em cadeia para configurações de dois monitores. Inclui também um comutador KVM integrado para controlar dois sistemas com um único teclado e rato, e o exclusivo Hotkey Puck sem fios, que permite ajustes rápidos de brilho, contraste e outras definições.</w:t>
      </w:r>
    </w:p>
    <w:p w14:paraId="5540F0BB" w14:textId="77777777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Concebido para longas sessões de trabalho, o PD2730S oferece ajustes de altura, inclinação, rotação e pivot, adaptando-se às necessidades de cada utilizador. Além disso, o seu painel Nano Matte reduz os reflexos e melhora o conforto visual, proporcionando uma experiência de trabalho sem distrações.</w:t>
      </w:r>
    </w:p>
    <w:p w14:paraId="37601924" w14:textId="6040A178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Graças ao seu modo M-Book e à tecnologia ICCsync, o PD2730S assegura uma sincronização precisa do perfil de cor com dispositivos Mac, fornecendo uma transição suave e fiel entre ecrãs.</w:t>
      </w:r>
    </w:p>
    <w:p w14:paraId="3701D1AB" w14:textId="580B28CD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i/>
          <w:iCs/>
          <w:sz w:val="22"/>
          <w:szCs w:val="22"/>
          <w:lang w:val="pt-PT"/>
        </w:rPr>
      </w:pPr>
      <w:r w:rsidRPr="00A7325E">
        <w:rPr>
          <w:rFonts w:ascii="Arial" w:hAnsi="Arial" w:cs="Arial"/>
          <w:i/>
          <w:iCs/>
          <w:sz w:val="22"/>
          <w:szCs w:val="22"/>
          <w:lang w:val="pt-PT"/>
        </w:rPr>
        <w:t>PD3226G</w:t>
      </w:r>
      <w:r w:rsidR="003342AF">
        <w:rPr>
          <w:rFonts w:ascii="Arial" w:hAnsi="Arial" w:cs="Arial"/>
          <w:i/>
          <w:iCs/>
          <w:sz w:val="22"/>
          <w:szCs w:val="22"/>
          <w:lang w:val="pt-PT"/>
        </w:rPr>
        <w:br/>
      </w:r>
      <w:r w:rsidRPr="00A7325E">
        <w:rPr>
          <w:rFonts w:ascii="Arial" w:hAnsi="Arial" w:cs="Arial"/>
          <w:sz w:val="22"/>
          <w:szCs w:val="22"/>
          <w:lang w:val="pt-PT"/>
        </w:rPr>
        <w:t>A taxa de atualização de 144Hz melhora a nitidez dos movimentos, proporcionando imagens ultrafluidas e precisas, essenciais para os criadores de jogos. O monitor foi otimizado para o desenvolvimento de jogos, animação e fluxos de trabalho exigentes.</w:t>
      </w:r>
    </w:p>
    <w:p w14:paraId="5BD563F6" w14:textId="0BD679B8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Tal como no PD2730S, a tecnologia AQCOLOR da BenQ oferece uma precisão de cor excecional. Todas as funcionalidades são rigorosamente testadas para garantir a consistência, proporcionando aos designers uma precisão inigualável e uma confiança total na cor. O PD3226G partilha também as certificações Calman e Pantone.</w:t>
      </w:r>
    </w:p>
    <w:p w14:paraId="2468C237" w14:textId="77777777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Obtenha uma correspondência de cores mais precisa com uma calibração fácil sem necessidade de conhecimentos especializados. Siga os menus visuais e os avisos claros para uma calibração de software que cumpre as normas internacionais. Se não tiver um calibrador, descarregue o Display ColorTalk para uma correspondência de cores intuitiva - não são necessárias ferramentas adicionais!</w:t>
      </w:r>
    </w:p>
    <w:p w14:paraId="61EF7665" w14:textId="77777777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O PD3226G também partilha com o PD2730S as funcionalidades de Thunderbolt 4, ligação em cadeia, comutador KVM, Hotkey Puck e Nano Matte.</w:t>
      </w:r>
    </w:p>
    <w:p w14:paraId="5698B0C6" w14:textId="25C3CDAB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i/>
          <w:iCs/>
          <w:sz w:val="22"/>
          <w:szCs w:val="22"/>
          <w:lang w:val="pt-PT"/>
        </w:rPr>
      </w:pPr>
      <w:r w:rsidRPr="00A7325E">
        <w:rPr>
          <w:rFonts w:ascii="Arial" w:hAnsi="Arial" w:cs="Arial"/>
          <w:i/>
          <w:iCs/>
          <w:sz w:val="22"/>
          <w:szCs w:val="22"/>
          <w:lang w:val="pt-PT"/>
        </w:rPr>
        <w:t>Ergo Arm BSH01</w:t>
      </w:r>
      <w:r w:rsidR="003342AF">
        <w:rPr>
          <w:rFonts w:ascii="Arial" w:hAnsi="Arial" w:cs="Arial"/>
          <w:i/>
          <w:iCs/>
          <w:sz w:val="22"/>
          <w:szCs w:val="22"/>
          <w:lang w:val="pt-PT"/>
        </w:rPr>
        <w:br/>
      </w:r>
      <w:r w:rsidRPr="00A7325E">
        <w:rPr>
          <w:rFonts w:ascii="Arial" w:hAnsi="Arial" w:cs="Arial"/>
          <w:sz w:val="22"/>
          <w:szCs w:val="22"/>
          <w:lang w:val="pt-PT"/>
        </w:rPr>
        <w:t>O BSH01 é compatível com monitores até 45 polegadas e com um peso entre 2 e 20 kg, adaptando-se às normas VESA 75x75 mm e 100x100 mm. A sua estrutura robusta, combinada com uma inclinação otimizada e um amortecedor pneumático testado para 25.000 ciclos de utilização, permite movimentos suaves e precisos sem oscilações, garantindo uma experiência ergonómica superior.</w:t>
      </w:r>
    </w:p>
    <w:p w14:paraId="3AC27A7D" w14:textId="77777777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lastRenderedPageBreak/>
        <w:t>Este suporte foi concebido a pensar na proteção da secretária, incorporando uma placa de reforço em aço que evita riscos e deformações em superfícies de vidro e outros materiais delicados. O seu sistema de instalação rápido e fácil, utilizando um grampo C superior ou uma bucha de parede, juntamente com a sua placa VESA de libertação rápida, simplifica o processo de montagem e ajuste.</w:t>
      </w:r>
    </w:p>
    <w:p w14:paraId="51E1F017" w14:textId="7E23D6EA" w:rsidR="00A7325E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O BSH01 permite uma gama completa de movimentos, com uma extensão de até 22,4 polegadas, inclinação de +50° a -20°, pivot de 180°, rotação de 360° e uma altura ajustável entre 8,7 e 18,7 polegadas. Também inclui um sistema integrado de gestão de cabos, que ajuda a manter um espaço de trabalho arrumado e sem emaranhados.</w:t>
      </w:r>
    </w:p>
    <w:p w14:paraId="3970A2EB" w14:textId="55A22636" w:rsidR="00C16C19" w:rsidRPr="00A7325E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hAnsi="Arial" w:cs="Arial"/>
          <w:sz w:val="22"/>
          <w:szCs w:val="22"/>
          <w:lang w:val="pt-PT"/>
        </w:rPr>
        <w:t>Com estes novos produtos, a BenQ reafirma o seu compromisso para com a inovação e a ergonomia nos espaços de trabalho e não só, oferecendo soluções poderosas, versáteis e elegantes.</w:t>
      </w:r>
    </w:p>
    <w:p w14:paraId="568A4AC5" w14:textId="77777777" w:rsidR="00C16C19" w:rsidRDefault="000C7D1F" w:rsidP="003342AF">
      <w:pPr>
        <w:widowControl/>
        <w:spacing w:before="100" w:beforeAutospacing="1" w:after="100" w:afterAutospacing="1" w:line="259" w:lineRule="auto"/>
        <w:rPr>
          <w:rFonts w:ascii="Arial" w:eastAsia="Times New Roman" w:hAnsi="Arial" w:cs="Arial"/>
          <w:b/>
          <w:bCs/>
          <w:kern w:val="0"/>
          <w:sz w:val="22"/>
          <w:szCs w:val="22"/>
          <w:lang w:val="pt-PT" w:eastAsia="es-ES"/>
        </w:rPr>
      </w:pPr>
      <w:r w:rsidRPr="00A7325E">
        <w:rPr>
          <w:rFonts w:ascii="Arial" w:eastAsia="Times New Roman" w:hAnsi="Arial" w:cs="Arial"/>
          <w:b/>
          <w:bCs/>
          <w:kern w:val="0"/>
          <w:sz w:val="22"/>
          <w:szCs w:val="22"/>
          <w:lang w:val="pt-PT" w:eastAsia="es-ES"/>
        </w:rPr>
        <w:t>Preço e disponibilidade</w:t>
      </w:r>
    </w:p>
    <w:p w14:paraId="2A895F58" w14:textId="14E5FF92" w:rsidR="00A7325E" w:rsidRPr="00C16C19" w:rsidRDefault="00A7325E" w:rsidP="003342AF">
      <w:pPr>
        <w:widowControl/>
        <w:spacing w:before="100" w:beforeAutospacing="1" w:after="100" w:afterAutospacing="1" w:line="259" w:lineRule="auto"/>
        <w:rPr>
          <w:rFonts w:ascii="Arial" w:eastAsia="Times New Roman" w:hAnsi="Arial" w:cs="Arial"/>
          <w:b/>
          <w:bCs/>
          <w:kern w:val="0"/>
          <w:sz w:val="22"/>
          <w:szCs w:val="22"/>
          <w:lang w:val="pt-PT" w:eastAsia="es-ES"/>
        </w:rPr>
      </w:pPr>
      <w:r w:rsidRPr="00A7325E">
        <w:rPr>
          <w:rFonts w:ascii="Arial" w:eastAsia="Times New Roman" w:hAnsi="Arial" w:cs="Arial"/>
          <w:kern w:val="0"/>
          <w:sz w:val="22"/>
          <w:szCs w:val="22"/>
          <w:lang w:val="pt-PT" w:eastAsia="es-ES"/>
        </w:rPr>
        <w:t>Os três novos produtos da BenQ já estão disponíveis em Portugal através da Robisa, com os seguintes preços recomendados:</w:t>
      </w:r>
    </w:p>
    <w:p w14:paraId="76CB6DFA" w14:textId="26B08910" w:rsidR="00A7325E" w:rsidRPr="00A7325E" w:rsidRDefault="00A7325E" w:rsidP="003342AF">
      <w:pPr>
        <w:pStyle w:val="Prrafodelista"/>
        <w:widowControl/>
        <w:numPr>
          <w:ilvl w:val="0"/>
          <w:numId w:val="3"/>
        </w:numPr>
        <w:spacing w:before="100" w:beforeAutospacing="1" w:after="100" w:afterAutospacing="1" w:line="259" w:lineRule="auto"/>
        <w:rPr>
          <w:rFonts w:ascii="Arial" w:eastAsia="Times New Roman" w:hAnsi="Arial" w:cs="Arial"/>
          <w:kern w:val="0"/>
          <w:sz w:val="22"/>
          <w:szCs w:val="22"/>
          <w:lang w:val="pt-PT" w:eastAsia="es-ES"/>
        </w:rPr>
      </w:pPr>
      <w:r w:rsidRPr="00A7325E">
        <w:rPr>
          <w:rFonts w:ascii="Arial" w:eastAsia="Times New Roman" w:hAnsi="Arial" w:cs="Arial"/>
          <w:kern w:val="0"/>
          <w:sz w:val="22"/>
          <w:szCs w:val="22"/>
          <w:lang w:val="pt-PT" w:eastAsia="es-ES"/>
        </w:rPr>
        <w:t>PD2730S: 1199,99 euros;</w:t>
      </w:r>
    </w:p>
    <w:p w14:paraId="65598CF8" w14:textId="77777777" w:rsidR="00A7325E" w:rsidRPr="00A7325E" w:rsidRDefault="00A7325E" w:rsidP="003342AF">
      <w:pPr>
        <w:pStyle w:val="Prrafodelista"/>
        <w:widowControl/>
        <w:numPr>
          <w:ilvl w:val="0"/>
          <w:numId w:val="3"/>
        </w:numPr>
        <w:spacing w:before="100" w:beforeAutospacing="1" w:after="100" w:afterAutospacing="1" w:line="259" w:lineRule="auto"/>
        <w:rPr>
          <w:rFonts w:ascii="Arial" w:eastAsia="Times New Roman" w:hAnsi="Arial" w:cs="Arial"/>
          <w:kern w:val="0"/>
          <w:sz w:val="22"/>
          <w:szCs w:val="22"/>
          <w:lang w:val="pt-PT" w:eastAsia="es-ES"/>
        </w:rPr>
      </w:pPr>
      <w:r w:rsidRPr="00A7325E">
        <w:rPr>
          <w:rFonts w:ascii="Arial" w:eastAsia="Times New Roman" w:hAnsi="Arial" w:cs="Arial"/>
          <w:kern w:val="0"/>
          <w:sz w:val="22"/>
          <w:szCs w:val="22"/>
          <w:lang w:val="pt-PT" w:eastAsia="es-ES"/>
        </w:rPr>
        <w:t>PD322G6: 1199,99 euros;</w:t>
      </w:r>
    </w:p>
    <w:p w14:paraId="3FE36318" w14:textId="44F1612C" w:rsidR="00A7325E" w:rsidRPr="00A7325E" w:rsidRDefault="00A7325E" w:rsidP="003342AF">
      <w:pPr>
        <w:pStyle w:val="Prrafodelista"/>
        <w:widowControl/>
        <w:numPr>
          <w:ilvl w:val="0"/>
          <w:numId w:val="3"/>
        </w:numPr>
        <w:spacing w:before="100" w:beforeAutospacing="1" w:after="100" w:afterAutospacing="1" w:line="259" w:lineRule="auto"/>
        <w:rPr>
          <w:rFonts w:ascii="Arial" w:eastAsia="Times New Roman" w:hAnsi="Arial" w:cs="Arial"/>
          <w:kern w:val="0"/>
          <w:sz w:val="22"/>
          <w:szCs w:val="22"/>
          <w:lang w:val="pt-PT" w:eastAsia="es-ES"/>
        </w:rPr>
      </w:pPr>
      <w:r w:rsidRPr="00A7325E">
        <w:rPr>
          <w:rFonts w:ascii="Arial" w:eastAsia="Times New Roman" w:hAnsi="Arial" w:cs="Arial"/>
          <w:kern w:val="0"/>
          <w:sz w:val="22"/>
          <w:szCs w:val="22"/>
          <w:lang w:val="pt-PT" w:eastAsia="es-ES"/>
        </w:rPr>
        <w:t>Ergo Arm BSH01: 139,99 euros.</w:t>
      </w:r>
    </w:p>
    <w:p w14:paraId="45F0F8D1" w14:textId="3DE8FA20" w:rsidR="00FF66D9" w:rsidRPr="00C16C19" w:rsidRDefault="00FF66D9" w:rsidP="00C16C19">
      <w:pPr>
        <w:spacing w:before="100" w:beforeAutospacing="1" w:after="100" w:afterAutospacing="1" w:line="259" w:lineRule="auto"/>
        <w:rPr>
          <w:rFonts w:ascii="Arial" w:hAnsi="Arial" w:cs="Arial"/>
          <w:sz w:val="22"/>
          <w:szCs w:val="22"/>
          <w:lang w:val="pt-PT"/>
        </w:rPr>
      </w:pPr>
      <w:r w:rsidRPr="00A7325E">
        <w:rPr>
          <w:rFonts w:ascii="Arial" w:eastAsia="Calibri" w:hAnsi="Arial" w:cs="Arial"/>
          <w:b/>
          <w:sz w:val="22"/>
          <w:szCs w:val="22"/>
          <w:lang w:val="pt-PT"/>
        </w:rPr>
        <w:t>Mais informações</w:t>
      </w:r>
      <w:r w:rsidRPr="00A7325E">
        <w:rPr>
          <w:rFonts w:ascii="Arial" w:eastAsia="Calibri" w:hAnsi="Arial" w:cs="Arial"/>
          <w:bCs/>
          <w:sz w:val="22"/>
          <w:szCs w:val="22"/>
          <w:lang w:val="pt-PT"/>
        </w:rPr>
        <w:t xml:space="preserve">: </w:t>
      </w:r>
      <w:hyperlink r:id="rId13" w:history="1">
        <w:r w:rsidRPr="00A7325E">
          <w:rPr>
            <w:rFonts w:ascii="Arial" w:hAnsi="Arial" w:cs="Arial"/>
            <w:color w:val="0000FF"/>
            <w:sz w:val="22"/>
            <w:szCs w:val="22"/>
            <w:u w:val="single"/>
            <w:lang w:val="pt-PT"/>
          </w:rPr>
          <w:t>https://www.robisa.es/pt/benq/</w:t>
        </w:r>
      </w:hyperlink>
      <w:r w:rsidR="00C16C19">
        <w:rPr>
          <w:rFonts w:ascii="Arial" w:hAnsi="Arial" w:cs="Arial"/>
          <w:sz w:val="22"/>
          <w:szCs w:val="22"/>
          <w:lang w:val="pt-PT"/>
        </w:rPr>
        <w:br/>
      </w:r>
      <w:r w:rsidRPr="00A7325E">
        <w:rPr>
          <w:rFonts w:ascii="Arial" w:eastAsia="Calibri" w:hAnsi="Arial" w:cs="Arial"/>
          <w:b/>
          <w:sz w:val="22"/>
          <w:szCs w:val="22"/>
          <w:lang w:val="pt-PT"/>
        </w:rPr>
        <w:t>Fotos de alta resolução</w:t>
      </w:r>
      <w:r w:rsidRPr="00A7325E">
        <w:rPr>
          <w:rFonts w:ascii="Arial" w:eastAsia="Calibri" w:hAnsi="Arial" w:cs="Arial"/>
          <w:bCs/>
          <w:sz w:val="22"/>
          <w:szCs w:val="22"/>
          <w:lang w:val="pt-PT"/>
        </w:rPr>
        <w:t>:</w:t>
      </w:r>
      <w:r w:rsidR="00C16C19">
        <w:rPr>
          <w:rFonts w:ascii="Arial" w:eastAsia="Calibri" w:hAnsi="Arial" w:cs="Arial"/>
          <w:bCs/>
          <w:sz w:val="22"/>
          <w:szCs w:val="22"/>
          <w:lang w:val="pt-PT"/>
        </w:rPr>
        <w:br/>
      </w:r>
      <w:r w:rsidR="00C16C19">
        <w:rPr>
          <w:rFonts w:ascii="Arial" w:eastAsia="Calibri" w:hAnsi="Arial" w:cs="Arial"/>
          <w:bCs/>
          <w:sz w:val="22"/>
          <w:szCs w:val="22"/>
          <w:lang w:val="pt-PT"/>
        </w:rPr>
        <w:tab/>
      </w:r>
      <w:hyperlink r:id="rId14" w:history="1">
        <w:r w:rsidR="00C16C19" w:rsidRPr="00A76973">
          <w:rPr>
            <w:rStyle w:val="Hipervnculo"/>
            <w:rFonts w:ascii="Arial" w:eastAsia="Calibri" w:hAnsi="Arial" w:cs="Arial"/>
            <w:bCs/>
            <w:sz w:val="22"/>
            <w:szCs w:val="22"/>
            <w:lang w:val="pt-PT"/>
          </w:rPr>
          <w:t>https://fotos.aempress.com/Robisa/BenQ/PD2730S</w:t>
        </w:r>
      </w:hyperlink>
      <w:r w:rsidR="00C16C19">
        <w:rPr>
          <w:rFonts w:ascii="Arial" w:eastAsia="Calibri" w:hAnsi="Arial" w:cs="Arial"/>
          <w:bCs/>
          <w:sz w:val="22"/>
          <w:szCs w:val="22"/>
          <w:lang w:val="pt-PT"/>
        </w:rPr>
        <w:br/>
      </w:r>
      <w:r w:rsidR="00C16C19">
        <w:rPr>
          <w:rFonts w:ascii="Arial" w:eastAsia="Calibri" w:hAnsi="Arial" w:cs="Arial"/>
          <w:bCs/>
          <w:sz w:val="22"/>
          <w:szCs w:val="22"/>
          <w:lang w:val="pt-PT"/>
        </w:rPr>
        <w:tab/>
      </w:r>
      <w:hyperlink r:id="rId15" w:history="1">
        <w:r w:rsidR="00C16C19" w:rsidRPr="00A76973">
          <w:rPr>
            <w:rStyle w:val="Hipervnculo"/>
            <w:rFonts w:ascii="Arial" w:eastAsia="Calibri" w:hAnsi="Arial" w:cs="Arial"/>
            <w:bCs/>
            <w:sz w:val="22"/>
            <w:szCs w:val="22"/>
            <w:lang w:val="pt-PT"/>
          </w:rPr>
          <w:t>https://fotos.aempress.com/Robisa/BenQ/PD3226G</w:t>
        </w:r>
      </w:hyperlink>
      <w:r w:rsidR="00C16C19">
        <w:rPr>
          <w:rFonts w:ascii="Arial" w:eastAsia="Calibri" w:hAnsi="Arial" w:cs="Arial"/>
          <w:bCs/>
          <w:sz w:val="22"/>
          <w:szCs w:val="22"/>
          <w:lang w:val="pt-PT"/>
        </w:rPr>
        <w:br/>
      </w:r>
      <w:r w:rsidR="00C16C19">
        <w:rPr>
          <w:rFonts w:ascii="Arial" w:eastAsia="Calibri" w:hAnsi="Arial" w:cs="Arial"/>
          <w:bCs/>
          <w:sz w:val="22"/>
          <w:szCs w:val="22"/>
          <w:lang w:val="pt-PT"/>
        </w:rPr>
        <w:tab/>
      </w:r>
      <w:hyperlink r:id="rId16" w:history="1">
        <w:r w:rsidR="00C16C19" w:rsidRPr="00A76973">
          <w:rPr>
            <w:rStyle w:val="Hipervnculo"/>
            <w:rFonts w:ascii="Arial" w:eastAsia="Calibri" w:hAnsi="Arial" w:cs="Arial"/>
            <w:bCs/>
            <w:sz w:val="22"/>
            <w:szCs w:val="22"/>
            <w:lang w:val="pt-PT"/>
          </w:rPr>
          <w:t>https://fotos.aempress.com/Robisa/BenQ/BSH01</w:t>
        </w:r>
      </w:hyperlink>
    </w:p>
    <w:p w14:paraId="062FB89E" w14:textId="77777777" w:rsidR="00922BEB" w:rsidRPr="00C16C19" w:rsidRDefault="00922BEB" w:rsidP="003342AF">
      <w:pPr>
        <w:spacing w:before="100" w:beforeAutospacing="1" w:after="100" w:afterAutospacing="1" w:line="259" w:lineRule="auto"/>
        <w:rPr>
          <w:rFonts w:ascii="Arial" w:eastAsia="Calibri" w:hAnsi="Arial" w:cs="Arial"/>
          <w:sz w:val="16"/>
          <w:szCs w:val="16"/>
          <w:lang w:val="pt-PT"/>
        </w:rPr>
      </w:pPr>
      <w:r w:rsidRPr="00C16C19">
        <w:rPr>
          <w:rFonts w:ascii="Arial" w:eastAsia="Calibri" w:hAnsi="Arial" w:cs="Arial"/>
          <w:sz w:val="16"/>
          <w:szCs w:val="16"/>
          <w:lang w:val="pt-PT"/>
        </w:rPr>
        <w:t>Para mais informações, contacte:</w:t>
      </w:r>
    </w:p>
    <w:p w14:paraId="3B7F71D4" w14:textId="2F3C9BBB" w:rsidR="00E36F3B" w:rsidRPr="00C16C19" w:rsidRDefault="00922BEB" w:rsidP="003342AF">
      <w:pPr>
        <w:spacing w:before="100" w:beforeAutospacing="1" w:after="100" w:afterAutospacing="1" w:line="259" w:lineRule="auto"/>
        <w:rPr>
          <w:rFonts w:ascii="Arial" w:eastAsia="Calibri" w:hAnsi="Arial" w:cs="Arial"/>
          <w:bCs/>
          <w:sz w:val="16"/>
          <w:szCs w:val="16"/>
          <w:lang w:val="pt-PT"/>
        </w:rPr>
      </w:pPr>
      <w:r w:rsidRPr="00C16C19">
        <w:rPr>
          <w:rFonts w:ascii="Arial" w:eastAsia="Calibri" w:hAnsi="Arial" w:cs="Arial"/>
          <w:noProof/>
          <w:sz w:val="16"/>
          <w:szCs w:val="16"/>
          <w:lang w:val="pt-PT"/>
        </w:rPr>
        <w:drawing>
          <wp:inline distT="0" distB="0" distL="0" distR="0" wp14:anchorId="3AD83639" wp14:editId="49199B8C">
            <wp:extent cx="1024758" cy="742950"/>
            <wp:effectExtent l="0" t="0" r="4445" b="0"/>
            <wp:docPr id="2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758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16C19">
        <w:rPr>
          <w:rFonts w:ascii="Arial" w:eastAsia="Calibri" w:hAnsi="Arial" w:cs="Arial"/>
          <w:bCs/>
          <w:sz w:val="16"/>
          <w:szCs w:val="16"/>
          <w:lang w:val="pt-PT"/>
        </w:rPr>
        <w:br/>
      </w:r>
      <w:r w:rsidRPr="00C16C19">
        <w:rPr>
          <w:rFonts w:ascii="Arial" w:eastAsia="Calibri" w:hAnsi="Arial" w:cs="Arial"/>
          <w:bCs/>
          <w:sz w:val="16"/>
          <w:szCs w:val="16"/>
          <w:lang w:val="pt-PT"/>
        </w:rPr>
        <w:br/>
        <w:t xml:space="preserve">António Eduardo Marques / </w:t>
      </w:r>
      <w:r w:rsidR="00A7325E" w:rsidRPr="00C16C19">
        <w:rPr>
          <w:rFonts w:ascii="Arial" w:eastAsia="Calibri" w:hAnsi="Arial" w:cs="Arial"/>
          <w:bCs/>
          <w:sz w:val="16"/>
          <w:szCs w:val="16"/>
          <w:lang w:val="pt-PT"/>
        </w:rPr>
        <w:t>David Marques</w:t>
      </w:r>
      <w:r w:rsidRPr="00C16C19">
        <w:rPr>
          <w:rFonts w:ascii="Arial" w:eastAsia="Calibri" w:hAnsi="Arial" w:cs="Arial"/>
          <w:bCs/>
          <w:sz w:val="16"/>
          <w:szCs w:val="16"/>
          <w:lang w:val="pt-PT"/>
        </w:rPr>
        <w:br/>
        <w:t xml:space="preserve">Email: </w:t>
      </w:r>
      <w:hyperlink r:id="rId18" w:history="1">
        <w:r w:rsidRPr="00C16C19">
          <w:rPr>
            <w:rFonts w:ascii="Arial" w:eastAsia="Calibri" w:hAnsi="Arial" w:cs="Arial"/>
            <w:bCs/>
            <w:color w:val="0000FF"/>
            <w:sz w:val="16"/>
            <w:szCs w:val="16"/>
            <w:u w:val="single"/>
            <w:lang w:val="pt-PT"/>
          </w:rPr>
          <w:t>robisa@aempress.com</w:t>
        </w:r>
      </w:hyperlink>
      <w:r w:rsidRPr="00C16C19">
        <w:rPr>
          <w:rFonts w:ascii="Arial" w:eastAsia="Calibri" w:hAnsi="Arial" w:cs="Arial"/>
          <w:sz w:val="16"/>
          <w:szCs w:val="16"/>
          <w:lang w:val="pt-PT"/>
        </w:rPr>
        <w:br/>
      </w:r>
      <w:r w:rsidRPr="00C16C19">
        <w:rPr>
          <w:rFonts w:ascii="Arial" w:eastAsia="Calibri" w:hAnsi="Arial" w:cs="Arial"/>
          <w:bCs/>
          <w:sz w:val="16"/>
          <w:szCs w:val="16"/>
          <w:lang w:val="pt-PT"/>
        </w:rPr>
        <w:t>Tlm.: 218 019</w:t>
      </w:r>
      <w:r w:rsidR="00E36F3B" w:rsidRPr="00C16C19">
        <w:rPr>
          <w:rFonts w:ascii="Arial" w:eastAsia="Calibri" w:hAnsi="Arial" w:cs="Arial"/>
          <w:bCs/>
          <w:sz w:val="16"/>
          <w:szCs w:val="16"/>
          <w:lang w:val="pt-PT"/>
        </w:rPr>
        <w:t> </w:t>
      </w:r>
      <w:r w:rsidRPr="00C16C19">
        <w:rPr>
          <w:rFonts w:ascii="Arial" w:eastAsia="Calibri" w:hAnsi="Arial" w:cs="Arial"/>
          <w:bCs/>
          <w:sz w:val="16"/>
          <w:szCs w:val="16"/>
          <w:lang w:val="pt-PT"/>
        </w:rPr>
        <w:t>830</w:t>
      </w:r>
    </w:p>
    <w:p w14:paraId="3E2A4567" w14:textId="3BE9518D" w:rsidR="00BA2184" w:rsidRPr="00C16C19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b/>
          <w:bCs/>
          <w:sz w:val="16"/>
          <w:szCs w:val="16"/>
          <w:lang w:val="pt-PT"/>
        </w:rPr>
      </w:pPr>
      <w:r w:rsidRPr="00C16C19">
        <w:rPr>
          <w:rFonts w:ascii="Arial" w:hAnsi="Arial" w:cs="Arial"/>
          <w:b/>
          <w:bCs/>
          <w:sz w:val="16"/>
          <w:szCs w:val="16"/>
          <w:lang w:val="pt-PT"/>
        </w:rPr>
        <w:t>Sobre a</w:t>
      </w:r>
      <w:r w:rsidR="00BA2184" w:rsidRPr="00C16C19">
        <w:rPr>
          <w:rFonts w:ascii="Arial" w:hAnsi="Arial" w:cs="Arial"/>
          <w:b/>
          <w:bCs/>
          <w:sz w:val="16"/>
          <w:szCs w:val="16"/>
          <w:lang w:val="pt-PT"/>
        </w:rPr>
        <w:t xml:space="preserve"> BenQ</w:t>
      </w:r>
      <w:r w:rsidRPr="00C16C19">
        <w:rPr>
          <w:rFonts w:ascii="Arial" w:hAnsi="Arial" w:cs="Arial"/>
          <w:b/>
          <w:bCs/>
          <w:sz w:val="16"/>
          <w:szCs w:val="16"/>
          <w:lang w:val="pt-PT"/>
        </w:rPr>
        <w:br/>
      </w:r>
      <w:r w:rsidR="003342AF" w:rsidRPr="00C16C19">
        <w:rPr>
          <w:rFonts w:ascii="Arial" w:hAnsi="Arial" w:cs="Arial"/>
          <w:sz w:val="16"/>
          <w:szCs w:val="16"/>
          <w:lang w:val="pt-PT"/>
        </w:rPr>
        <w:t>A BenQ é uma empresa líder em tecnologia de visualização e soluções visuais, empenhada em desenvolver produtos inovadores que melhoram a produtividade e a criatividade dos seus utilizadores.</w:t>
      </w:r>
    </w:p>
    <w:p w14:paraId="668FAC41" w14:textId="5BE65B2D" w:rsidR="00BA2184" w:rsidRPr="00C16C19" w:rsidRDefault="00A7325E" w:rsidP="003342AF">
      <w:pPr>
        <w:spacing w:before="100" w:beforeAutospacing="1" w:after="100" w:afterAutospacing="1" w:line="259" w:lineRule="auto"/>
        <w:rPr>
          <w:rFonts w:ascii="Arial" w:hAnsi="Arial" w:cs="Arial"/>
          <w:b/>
          <w:bCs/>
          <w:sz w:val="16"/>
          <w:szCs w:val="16"/>
          <w:lang w:val="pt-PT"/>
        </w:rPr>
      </w:pPr>
      <w:r w:rsidRPr="00C16C19">
        <w:rPr>
          <w:rFonts w:ascii="Arial" w:hAnsi="Arial" w:cs="Arial"/>
          <w:b/>
          <w:bCs/>
          <w:sz w:val="16"/>
          <w:szCs w:val="16"/>
          <w:lang w:val="pt-PT"/>
        </w:rPr>
        <w:t>Sobre a</w:t>
      </w:r>
      <w:r w:rsidR="00852FAF" w:rsidRPr="00C16C19">
        <w:rPr>
          <w:rFonts w:ascii="Arial" w:hAnsi="Arial" w:cs="Arial"/>
          <w:b/>
          <w:bCs/>
          <w:sz w:val="16"/>
          <w:szCs w:val="16"/>
          <w:lang w:val="pt-PT"/>
        </w:rPr>
        <w:t xml:space="preserve"> </w:t>
      </w:r>
      <w:r w:rsidR="00BA2184" w:rsidRPr="00C16C19">
        <w:rPr>
          <w:rFonts w:ascii="Arial" w:hAnsi="Arial" w:cs="Arial"/>
          <w:b/>
          <w:bCs/>
          <w:sz w:val="16"/>
          <w:szCs w:val="16"/>
          <w:lang w:val="pt-PT"/>
        </w:rPr>
        <w:t>R</w:t>
      </w:r>
      <w:r w:rsidR="00E36F3B" w:rsidRPr="00C16C19">
        <w:rPr>
          <w:rFonts w:ascii="Arial" w:hAnsi="Arial" w:cs="Arial"/>
          <w:b/>
          <w:bCs/>
          <w:sz w:val="16"/>
          <w:szCs w:val="16"/>
          <w:lang w:val="pt-PT"/>
        </w:rPr>
        <w:t>obisa</w:t>
      </w:r>
      <w:r w:rsidRPr="00C16C19">
        <w:rPr>
          <w:rFonts w:ascii="Arial" w:hAnsi="Arial" w:cs="Arial"/>
          <w:b/>
          <w:bCs/>
          <w:sz w:val="16"/>
          <w:szCs w:val="16"/>
          <w:lang w:val="pt-PT"/>
        </w:rPr>
        <w:br/>
      </w:r>
      <w:r w:rsidR="003342AF" w:rsidRPr="00C16C19">
        <w:rPr>
          <w:rFonts w:ascii="Arial" w:hAnsi="Arial" w:cs="Arial"/>
          <w:sz w:val="16"/>
          <w:szCs w:val="16"/>
          <w:lang w:val="pt-PT"/>
        </w:rPr>
        <w:t>Com mais de 65 anos de experiência, a Robisa é líder na distribuição de produtos e acessórios de fotografia digital, ótica e audiovisuais. A Robisa, com a sua equipa de profissionais altamente reconhecidos, usa esta experiência para fornecer vendas e serviços técnicos de excelência.</w:t>
      </w:r>
    </w:p>
    <w:sectPr w:rsidR="00BA2184" w:rsidRPr="00C16C19" w:rsidSect="002B7765">
      <w:headerReference w:type="default" r:id="rId19"/>
      <w:footerReference w:type="default" r:id="rId20"/>
      <w:pgSz w:w="11906" w:h="16838"/>
      <w:pgMar w:top="1985" w:right="1558" w:bottom="1985" w:left="156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60F940" w14:textId="77777777" w:rsidR="00257F5F" w:rsidRDefault="00257F5F" w:rsidP="00792A77">
      <w:r>
        <w:separator/>
      </w:r>
    </w:p>
  </w:endnote>
  <w:endnote w:type="continuationSeparator" w:id="0">
    <w:p w14:paraId="427D99FD" w14:textId="77777777" w:rsidR="00257F5F" w:rsidRDefault="00257F5F" w:rsidP="00792A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00313C" w14:textId="7FB7654D" w:rsidR="00E318C7" w:rsidRPr="00A7325E" w:rsidRDefault="00E96CE1" w:rsidP="00E96CE1">
    <w:pPr>
      <w:pStyle w:val="Piedepgina"/>
      <w:jc w:val="center"/>
      <w:rPr>
        <w:rFonts w:asciiTheme="minorHAnsi" w:hAnsiTheme="minorHAnsi"/>
        <w:lang w:val="es-ES"/>
      </w:rPr>
    </w:pPr>
    <w:proofErr w:type="spellStart"/>
    <w:r w:rsidRPr="00A7325E">
      <w:rPr>
        <w:rFonts w:asciiTheme="minorHAnsi" w:hAnsiTheme="minorHAnsi" w:cs="Arial"/>
        <w:bCs/>
        <w:sz w:val="18"/>
        <w:szCs w:val="20"/>
        <w:lang w:val="es-ES"/>
      </w:rPr>
      <w:t>AEMpress</w:t>
    </w:r>
    <w:proofErr w:type="spellEnd"/>
    <w:r w:rsidRPr="00A7325E">
      <w:rPr>
        <w:rFonts w:asciiTheme="minorHAnsi" w:hAnsiTheme="minorHAnsi" w:cs="Arial"/>
        <w:bCs/>
        <w:sz w:val="18"/>
        <w:szCs w:val="20"/>
        <w:lang w:val="es-ES"/>
      </w:rPr>
      <w:t xml:space="preserve"> [robisa@aempress.com] • </w:t>
    </w:r>
    <w:r w:rsidRPr="00E96CE1">
      <w:rPr>
        <w:rFonts w:asciiTheme="minorHAnsi" w:hAnsiTheme="minorHAnsi" w:cs="Arial"/>
        <w:bCs/>
        <w:sz w:val="18"/>
        <w:szCs w:val="20"/>
      </w:rPr>
      <w:fldChar w:fldCharType="begin"/>
    </w:r>
    <w:r w:rsidRPr="00E96CE1">
      <w:rPr>
        <w:rFonts w:asciiTheme="minorHAnsi" w:hAnsiTheme="minorHAnsi" w:cs="Arial"/>
        <w:bCs/>
        <w:sz w:val="18"/>
        <w:szCs w:val="20"/>
      </w:rPr>
      <w:instrText xml:space="preserve"> TIME  \@ "MMMM' de 'yyyy"  \* MERGEFORMAT </w:instrText>
    </w:r>
    <w:r w:rsidRPr="00E96CE1">
      <w:rPr>
        <w:rFonts w:asciiTheme="minorHAnsi" w:hAnsiTheme="minorHAnsi" w:cs="Arial"/>
        <w:bCs/>
        <w:sz w:val="18"/>
        <w:szCs w:val="20"/>
      </w:rPr>
      <w:fldChar w:fldCharType="separate"/>
    </w:r>
    <w:r w:rsidR="008B40FE">
      <w:rPr>
        <w:rFonts w:asciiTheme="minorHAnsi" w:hAnsiTheme="minorHAnsi" w:cs="Arial"/>
        <w:bCs/>
        <w:noProof/>
        <w:sz w:val="18"/>
        <w:szCs w:val="20"/>
      </w:rPr>
      <w:t>April de 2025</w:t>
    </w:r>
    <w:r w:rsidRPr="00E96CE1">
      <w:rPr>
        <w:rFonts w:asciiTheme="minorHAnsi" w:hAnsiTheme="minorHAnsi" w:cs="Arial"/>
        <w:sz w:val="18"/>
        <w:szCs w:val="20"/>
      </w:rPr>
      <w:fldChar w:fldCharType="end"/>
    </w:r>
    <w:r w:rsidRPr="00A7325E">
      <w:rPr>
        <w:rFonts w:asciiTheme="minorHAnsi" w:hAnsiTheme="minorHAnsi" w:cs="Arial"/>
        <w:bCs/>
        <w:sz w:val="18"/>
        <w:szCs w:val="20"/>
        <w:lang w:val="es-ES"/>
      </w:rPr>
      <w:t xml:space="preserve"> • BenQ </w:t>
    </w:r>
    <w:r w:rsidR="00972B1C" w:rsidRPr="00A7325E">
      <w:rPr>
        <w:rFonts w:asciiTheme="minorHAnsi" w:hAnsiTheme="minorHAnsi" w:cs="Arial"/>
        <w:bCs/>
        <w:sz w:val="18"/>
        <w:szCs w:val="20"/>
        <w:lang w:val="es-ES"/>
      </w:rPr>
      <w:t>PD</w:t>
    </w:r>
    <w:r w:rsidR="00A7325E">
      <w:rPr>
        <w:rFonts w:asciiTheme="minorHAnsi" w:hAnsiTheme="minorHAnsi" w:cs="Arial"/>
        <w:bCs/>
        <w:sz w:val="18"/>
        <w:szCs w:val="20"/>
        <w:lang w:val="es-ES"/>
      </w:rPr>
      <w:t>+BSH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163885" w14:textId="77777777" w:rsidR="00257F5F" w:rsidRDefault="00257F5F" w:rsidP="00792A77">
      <w:r>
        <w:separator/>
      </w:r>
    </w:p>
  </w:footnote>
  <w:footnote w:type="continuationSeparator" w:id="0">
    <w:p w14:paraId="76FAAF50" w14:textId="77777777" w:rsidR="00257F5F" w:rsidRDefault="00257F5F" w:rsidP="00792A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BB84F6" w14:textId="3A89FE16" w:rsidR="00792A77" w:rsidRDefault="00792A77" w:rsidP="00792A77">
    <w:pPr>
      <w:pStyle w:val="Encabezado"/>
      <w:ind w:left="-426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F608DD6" wp14:editId="1CBE48D6">
          <wp:simplePos x="0" y="0"/>
          <wp:positionH relativeFrom="column">
            <wp:posOffset>-133985</wp:posOffset>
          </wp:positionH>
          <wp:positionV relativeFrom="paragraph">
            <wp:posOffset>-74930</wp:posOffset>
          </wp:positionV>
          <wp:extent cx="1073150" cy="634365"/>
          <wp:effectExtent l="0" t="0" r="0" b="0"/>
          <wp:wrapSquare wrapText="bothSides"/>
          <wp:docPr id="1532321379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857" t="13423" r="10077" b="15745"/>
                  <a:stretch/>
                </pic:blipFill>
                <pic:spPr bwMode="auto">
                  <a:xfrm>
                    <a:off x="0" y="0"/>
                    <a:ext cx="1073150" cy="63436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F04224" w14:textId="40B4DF64" w:rsidR="00792A77" w:rsidRPr="00792A77" w:rsidRDefault="00E55958" w:rsidP="00972B1C">
    <w:pPr>
      <w:pStyle w:val="Encabezado"/>
      <w:ind w:left="-426"/>
      <w:rPr>
        <w:rFonts w:ascii="Arial Nova" w:hAnsi="Arial Nova"/>
        <w:b/>
        <w:bCs/>
        <w:sz w:val="28"/>
        <w:szCs w:val="28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68C6ED93" wp14:editId="4246C741">
          <wp:simplePos x="0" y="0"/>
          <wp:positionH relativeFrom="column">
            <wp:posOffset>4266565</wp:posOffset>
          </wp:positionH>
          <wp:positionV relativeFrom="paragraph">
            <wp:posOffset>16510</wp:posOffset>
          </wp:positionV>
          <wp:extent cx="1318260" cy="425450"/>
          <wp:effectExtent l="0" t="0" r="0" b="0"/>
          <wp:wrapSquare wrapText="bothSides"/>
          <wp:docPr id="1199590131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8260" cy="425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07009D"/>
    <w:multiLevelType w:val="multilevel"/>
    <w:tmpl w:val="74C08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33763E6"/>
    <w:multiLevelType w:val="hybridMultilevel"/>
    <w:tmpl w:val="56160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9F19B5"/>
    <w:multiLevelType w:val="multilevel"/>
    <w:tmpl w:val="D6307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39649227">
    <w:abstractNumId w:val="2"/>
  </w:num>
  <w:num w:numId="2" w16cid:durableId="414058507">
    <w:abstractNumId w:val="0"/>
  </w:num>
  <w:num w:numId="3" w16cid:durableId="200069250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2A77"/>
    <w:rsid w:val="0007573C"/>
    <w:rsid w:val="000B7A6D"/>
    <w:rsid w:val="000C7D1F"/>
    <w:rsid w:val="00126D02"/>
    <w:rsid w:val="00140129"/>
    <w:rsid w:val="00166DCD"/>
    <w:rsid w:val="001A122B"/>
    <w:rsid w:val="001B5278"/>
    <w:rsid w:val="00257F5F"/>
    <w:rsid w:val="002B7765"/>
    <w:rsid w:val="002C0C2C"/>
    <w:rsid w:val="002D1357"/>
    <w:rsid w:val="0030721F"/>
    <w:rsid w:val="0031364D"/>
    <w:rsid w:val="00316279"/>
    <w:rsid w:val="003339A5"/>
    <w:rsid w:val="003342AF"/>
    <w:rsid w:val="00340ABF"/>
    <w:rsid w:val="0034377E"/>
    <w:rsid w:val="0035793C"/>
    <w:rsid w:val="003B553C"/>
    <w:rsid w:val="004052AE"/>
    <w:rsid w:val="00484090"/>
    <w:rsid w:val="004946B7"/>
    <w:rsid w:val="004B106C"/>
    <w:rsid w:val="004D3B33"/>
    <w:rsid w:val="004F0FBB"/>
    <w:rsid w:val="00502E06"/>
    <w:rsid w:val="00507B2E"/>
    <w:rsid w:val="00515D35"/>
    <w:rsid w:val="00535B30"/>
    <w:rsid w:val="005A4A19"/>
    <w:rsid w:val="005A653F"/>
    <w:rsid w:val="005B0819"/>
    <w:rsid w:val="005E3769"/>
    <w:rsid w:val="006A0A20"/>
    <w:rsid w:val="006D3078"/>
    <w:rsid w:val="0070592B"/>
    <w:rsid w:val="00710EFD"/>
    <w:rsid w:val="00723056"/>
    <w:rsid w:val="00723D22"/>
    <w:rsid w:val="00724DC1"/>
    <w:rsid w:val="00743FE8"/>
    <w:rsid w:val="007577E0"/>
    <w:rsid w:val="00765A0F"/>
    <w:rsid w:val="00784710"/>
    <w:rsid w:val="00792A77"/>
    <w:rsid w:val="007B27DB"/>
    <w:rsid w:val="007D2A79"/>
    <w:rsid w:val="007F7A79"/>
    <w:rsid w:val="00852FAF"/>
    <w:rsid w:val="0086082C"/>
    <w:rsid w:val="008B40FE"/>
    <w:rsid w:val="008D7ABF"/>
    <w:rsid w:val="009102B3"/>
    <w:rsid w:val="00922BEB"/>
    <w:rsid w:val="00962012"/>
    <w:rsid w:val="00972B1C"/>
    <w:rsid w:val="00A7053D"/>
    <w:rsid w:val="00A71C9C"/>
    <w:rsid w:val="00A7325E"/>
    <w:rsid w:val="00A917BC"/>
    <w:rsid w:val="00AB1E1B"/>
    <w:rsid w:val="00B272D3"/>
    <w:rsid w:val="00B72F69"/>
    <w:rsid w:val="00BA2184"/>
    <w:rsid w:val="00BB236F"/>
    <w:rsid w:val="00BC089D"/>
    <w:rsid w:val="00BD6C3D"/>
    <w:rsid w:val="00BE57E1"/>
    <w:rsid w:val="00C16C19"/>
    <w:rsid w:val="00C20F72"/>
    <w:rsid w:val="00C84B65"/>
    <w:rsid w:val="00CE6500"/>
    <w:rsid w:val="00D335FB"/>
    <w:rsid w:val="00D43F66"/>
    <w:rsid w:val="00D647D6"/>
    <w:rsid w:val="00D92C48"/>
    <w:rsid w:val="00DF6C16"/>
    <w:rsid w:val="00E318C7"/>
    <w:rsid w:val="00E36F3B"/>
    <w:rsid w:val="00E379EA"/>
    <w:rsid w:val="00E37B1A"/>
    <w:rsid w:val="00E55958"/>
    <w:rsid w:val="00E85696"/>
    <w:rsid w:val="00E92553"/>
    <w:rsid w:val="00E96CE1"/>
    <w:rsid w:val="00ED4B4A"/>
    <w:rsid w:val="00EE3E25"/>
    <w:rsid w:val="00F12F9C"/>
    <w:rsid w:val="00F15F78"/>
    <w:rsid w:val="00F31FC9"/>
    <w:rsid w:val="00F6520E"/>
    <w:rsid w:val="00F657EA"/>
    <w:rsid w:val="00FF6477"/>
    <w:rsid w:val="00FF6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B88B47"/>
  <w15:chartTrackingRefBased/>
  <w15:docId w15:val="{9496B660-E419-4FD7-A2E2-0DDBD2BFF7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C7D1F"/>
    <w:pPr>
      <w:widowControl w:val="0"/>
      <w:spacing w:after="0" w:line="240" w:lineRule="auto"/>
    </w:pPr>
    <w:rPr>
      <w:rFonts w:ascii="Times New Roman" w:eastAsia="PMingLiU" w:hAnsi="Times New Roman" w:cs="Times New Roman"/>
      <w:sz w:val="24"/>
      <w:szCs w:val="24"/>
      <w:lang w:val="en-US" w:eastAsia="zh-TW"/>
      <w14:ligatures w14:val="none"/>
    </w:rPr>
  </w:style>
  <w:style w:type="paragraph" w:styleId="Ttulo1">
    <w:name w:val="heading 1"/>
    <w:basedOn w:val="Normal"/>
    <w:next w:val="Normal"/>
    <w:link w:val="Ttulo1Car"/>
    <w:uiPriority w:val="9"/>
    <w:qFormat/>
    <w:rsid w:val="00792A7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792A7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792A7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792A7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792A7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792A7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792A7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792A7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792A7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792A7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792A7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792A7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92A7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792A7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792A7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792A7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792A7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792A7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792A7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792A7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792A7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792A7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792A7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792A7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792A7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792A7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792A7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792A7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792A77"/>
    <w:rPr>
      <w:b/>
      <w:bCs/>
      <w:smallCaps/>
      <w:color w:val="0F4761" w:themeColor="accent1" w:themeShade="BF"/>
      <w:spacing w:val="5"/>
    </w:rPr>
  </w:style>
  <w:style w:type="character" w:styleId="Hipervnculo">
    <w:name w:val="Hyperlink"/>
    <w:rsid w:val="00792A77"/>
    <w:rPr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792A7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92A77"/>
    <w:rPr>
      <w:rFonts w:ascii="Times New Roman" w:eastAsia="PMingLiU" w:hAnsi="Times New Roman" w:cs="Times New Roman"/>
      <w:sz w:val="24"/>
      <w:szCs w:val="24"/>
      <w:lang w:val="en-US" w:eastAsia="zh-TW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792A7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92A77"/>
    <w:rPr>
      <w:rFonts w:ascii="Times New Roman" w:eastAsia="PMingLiU" w:hAnsi="Times New Roman" w:cs="Times New Roman"/>
      <w:sz w:val="24"/>
      <w:szCs w:val="24"/>
      <w:lang w:val="en-US" w:eastAsia="zh-TW"/>
      <w14:ligatures w14:val="none"/>
    </w:rPr>
  </w:style>
  <w:style w:type="character" w:styleId="Mencinsinresolver">
    <w:name w:val="Unresolved Mention"/>
    <w:basedOn w:val="Fuentedeprrafopredeter"/>
    <w:uiPriority w:val="99"/>
    <w:semiHidden/>
    <w:unhideWhenUsed/>
    <w:rsid w:val="00CE6500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507B2E"/>
    <w:pPr>
      <w:widowControl/>
      <w:spacing w:before="100" w:beforeAutospacing="1" w:after="100" w:afterAutospacing="1"/>
    </w:pPr>
    <w:rPr>
      <w:rFonts w:eastAsia="Times New Roman"/>
      <w:kern w:val="0"/>
      <w:lang w:val="es-ES" w:eastAsia="es-ES"/>
    </w:rPr>
  </w:style>
  <w:style w:type="character" w:styleId="Textoennegrita">
    <w:name w:val="Strong"/>
    <w:basedOn w:val="Fuentedeprrafopredeter"/>
    <w:uiPriority w:val="22"/>
    <w:qFormat/>
    <w:rsid w:val="00507B2E"/>
    <w:rPr>
      <w:b/>
      <w:bCs/>
    </w:rPr>
  </w:style>
  <w:style w:type="character" w:styleId="nfasis">
    <w:name w:val="Emphasis"/>
    <w:basedOn w:val="Fuentedeprrafopredeter"/>
    <w:uiPriority w:val="20"/>
    <w:qFormat/>
    <w:rsid w:val="00F12F9C"/>
    <w:rPr>
      <w:i/>
      <w:iCs/>
    </w:rPr>
  </w:style>
  <w:style w:type="character" w:styleId="Hipervnculovisitado">
    <w:name w:val="FollowedHyperlink"/>
    <w:basedOn w:val="Fuentedeprrafopredeter"/>
    <w:uiPriority w:val="99"/>
    <w:semiHidden/>
    <w:unhideWhenUsed/>
    <w:rsid w:val="00A7325E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03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2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5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73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robisa.es/pt/benq/" TargetMode="External"/><Relationship Id="rId18" Type="http://schemas.openxmlformats.org/officeDocument/2006/relationships/hyperlink" Target="mailto:robisa@aempress.com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hyperlink" Target="https://fotos.aempress.com/Robisa/BenQ/BSH01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yperlink" Target="https://fotos.aempress.com/Robisa/BenQ/PD3226G" TargetMode="External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fotos.aempress.com/Robisa/BenQ/PD2730S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21" ma:contentTypeDescription="Crear nuevo documento." ma:contentTypeScope="" ma:versionID="cf22dd8bc09b323755b893c46dfd4d0e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f0c0f35e244d2d147969bb82f09e493b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Props1.xml><?xml version="1.0" encoding="utf-8"?>
<ds:datastoreItem xmlns:ds="http://schemas.openxmlformats.org/officeDocument/2006/customXml" ds:itemID="{607CE11A-7539-4A71-93BA-77E40CD93109}"/>
</file>

<file path=customXml/itemProps2.xml><?xml version="1.0" encoding="utf-8"?>
<ds:datastoreItem xmlns:ds="http://schemas.openxmlformats.org/officeDocument/2006/customXml" ds:itemID="{1FB27AD7-D800-4929-9D70-3C3BAACBD1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E24809-30CF-4E4E-AFB1-5B32164371C0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1026</Words>
  <Characters>5643</Characters>
  <Application>Microsoft Office Word</Application>
  <DocSecurity>4</DocSecurity>
  <Lines>47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Semrau</dc:creator>
  <cp:keywords/>
  <dc:description/>
  <cp:lastModifiedBy>Andrea Velez</cp:lastModifiedBy>
  <cp:revision>2</cp:revision>
  <dcterms:created xsi:type="dcterms:W3CDTF">2025-04-07T08:01:00Z</dcterms:created>
  <dcterms:modified xsi:type="dcterms:W3CDTF">2025-04-07T08:01:00Z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  <property fmtid="{D5CDD505-2E9C-101B-9397-08002B2CF9AE}" pid="5" name="Peso_x0020_archivo">
    <vt:lpwstr/>
  </property>
</Properties>
</file>