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0A56" w14:textId="45C53FFD" w:rsidR="00E0341E" w:rsidRPr="00FE69FE" w:rsidRDefault="00373AD6" w:rsidP="00FE69FE">
      <w:pPr>
        <w:spacing w:line="240" w:lineRule="auto"/>
        <w:rPr>
          <w:rFonts w:ascii="Aptos" w:eastAsiaTheme="minorHAnsi" w:hAnsi="Aptos"/>
          <w:b/>
          <w:color w:val="000000" w:themeColor="text1"/>
          <w:szCs w:val="20"/>
          <w:lang w:val="es-ES"/>
        </w:rPr>
      </w:pPr>
      <w:r w:rsidRPr="00FE69FE">
        <w:rPr>
          <w:rFonts w:ascii="Aptos" w:eastAsiaTheme="minorHAnsi" w:hAnsi="Aptos" w:cs="Arial"/>
          <w:b/>
          <w:color w:val="000000" w:themeColor="text1"/>
          <w:szCs w:val="20"/>
          <w:lang w:val="es-ES"/>
        </w:rPr>
        <w:t xml:space="preserve">BENQ presenta nuevo monitor de la Serie </w:t>
      </w:r>
      <w:r w:rsidR="001B5E63" w:rsidRPr="00FE69FE">
        <w:rPr>
          <w:rFonts w:ascii="Aptos" w:eastAsiaTheme="minorHAnsi" w:hAnsi="Aptos" w:cs="Arial"/>
          <w:b/>
          <w:color w:val="000000" w:themeColor="text1"/>
          <w:szCs w:val="20"/>
          <w:lang w:val="es-ES"/>
        </w:rPr>
        <w:t>DESIGN</w:t>
      </w:r>
      <w:r w:rsidRPr="00FE69FE">
        <w:rPr>
          <w:rFonts w:ascii="Aptos" w:eastAsiaTheme="minorHAnsi" w:hAnsi="Aptos" w:cs="Arial"/>
          <w:b/>
          <w:color w:val="000000" w:themeColor="text1"/>
          <w:szCs w:val="20"/>
          <w:lang w:val="es-ES"/>
        </w:rPr>
        <w:t xml:space="preserve">VUE: </w:t>
      </w:r>
      <w:r w:rsidR="001B5E63" w:rsidRPr="00FE69FE">
        <w:rPr>
          <w:rFonts w:ascii="Aptos" w:eastAsiaTheme="minorHAnsi" w:hAnsi="Aptos" w:cs="Arial"/>
          <w:b/>
          <w:color w:val="000000" w:themeColor="text1"/>
          <w:szCs w:val="20"/>
          <w:lang w:val="es-ES"/>
        </w:rPr>
        <w:t>PD3226G</w:t>
      </w:r>
    </w:p>
    <w:p w14:paraId="3D1F1EA9" w14:textId="4A07F995" w:rsidR="00AF67B6" w:rsidRPr="00FE69FE" w:rsidRDefault="00562088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Madrid, </w:t>
      </w:r>
      <w:r w:rsidR="001B5E63" w:rsidRPr="00FE69FE">
        <w:rPr>
          <w:rFonts w:ascii="Aptos" w:hAnsi="Aptos"/>
          <w:color w:val="000000" w:themeColor="text1"/>
          <w:szCs w:val="20"/>
          <w:lang w:val="es-ES"/>
        </w:rPr>
        <w:t>marzo 2025</w:t>
      </w:r>
    </w:p>
    <w:p w14:paraId="41CF46E4" w14:textId="1669FA2B" w:rsidR="006F78E0" w:rsidRPr="00FE69FE" w:rsidRDefault="00562088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>BenQ</w:t>
      </w:r>
      <w:r w:rsidR="00AF67B6" w:rsidRPr="00FE69FE">
        <w:rPr>
          <w:rFonts w:ascii="Aptos" w:hAnsi="Aptos"/>
          <w:color w:val="000000" w:themeColor="text1"/>
          <w:szCs w:val="20"/>
          <w:lang w:val="es-ES"/>
        </w:rPr>
        <w:t xml:space="preserve">, </w:t>
      </w:r>
      <w:r w:rsidR="00F14137" w:rsidRPr="00FE69FE">
        <w:rPr>
          <w:rFonts w:ascii="Aptos" w:hAnsi="Aptos"/>
          <w:color w:val="000000" w:themeColor="text1"/>
          <w:szCs w:val="20"/>
          <w:lang w:val="es-ES"/>
        </w:rPr>
        <w:t>reconocido productor de</w:t>
      </w:r>
      <w:r w:rsidR="00AF67B6" w:rsidRPr="00FE69FE">
        <w:rPr>
          <w:rFonts w:ascii="Aptos" w:hAnsi="Aptos"/>
          <w:color w:val="000000" w:themeColor="text1"/>
          <w:szCs w:val="20"/>
          <w:lang w:val="es-ES"/>
        </w:rPr>
        <w:t xml:space="preserve"> monitores profesionales para fotógrafos, vide</w:t>
      </w:r>
      <w:r w:rsidR="00195059" w:rsidRPr="00FE69FE">
        <w:rPr>
          <w:rFonts w:ascii="Aptos" w:hAnsi="Aptos"/>
          <w:color w:val="000000" w:themeColor="text1"/>
          <w:szCs w:val="20"/>
          <w:lang w:val="es-ES"/>
        </w:rPr>
        <w:t xml:space="preserve">ógrafos y diseñadores, se complace en anunciar el lanzamiento del nuevo monitor </w:t>
      </w:r>
      <w:r w:rsidR="00CE15E9" w:rsidRPr="00FE69FE">
        <w:rPr>
          <w:rFonts w:ascii="Aptos" w:hAnsi="Aptos"/>
          <w:color w:val="000000" w:themeColor="text1"/>
          <w:szCs w:val="20"/>
          <w:lang w:val="es-ES"/>
        </w:rPr>
        <w:t>PD3226G</w:t>
      </w:r>
      <w:r w:rsidR="00236820" w:rsidRPr="00FE69FE">
        <w:rPr>
          <w:rFonts w:ascii="Aptos" w:hAnsi="Aptos"/>
          <w:color w:val="000000" w:themeColor="text1"/>
          <w:szCs w:val="20"/>
          <w:lang w:val="es-ES"/>
        </w:rPr>
        <w:t xml:space="preserve"> de 32” 4K UHD (3840x2160) y 144Hz</w:t>
      </w:r>
      <w:r w:rsidR="006F78E0" w:rsidRPr="00FE69FE">
        <w:rPr>
          <w:rFonts w:ascii="Aptos" w:hAnsi="Aptos"/>
          <w:color w:val="000000" w:themeColor="text1"/>
          <w:szCs w:val="20"/>
          <w:lang w:val="es-ES"/>
        </w:rPr>
        <w:t>.</w:t>
      </w:r>
      <w:r w:rsidR="00236820" w:rsidRPr="00FE69FE">
        <w:rPr>
          <w:rFonts w:ascii="Aptos" w:hAnsi="Aptos"/>
          <w:color w:val="000000" w:themeColor="text1"/>
          <w:szCs w:val="20"/>
          <w:lang w:val="es-ES"/>
        </w:rPr>
        <w:t xml:space="preserve"> </w:t>
      </w:r>
      <w:r w:rsidR="00420CA6" w:rsidRPr="00FE69FE">
        <w:rPr>
          <w:rFonts w:ascii="Aptos" w:hAnsi="Aptos"/>
          <w:color w:val="000000" w:themeColor="text1"/>
          <w:szCs w:val="20"/>
          <w:lang w:val="es-ES"/>
        </w:rPr>
        <w:t xml:space="preserve">Fabricado específicamente </w:t>
      </w:r>
      <w:r w:rsidR="00FD1852" w:rsidRPr="00FE69FE">
        <w:rPr>
          <w:rFonts w:ascii="Aptos" w:hAnsi="Aptos"/>
          <w:color w:val="000000" w:themeColor="text1"/>
          <w:szCs w:val="20"/>
          <w:lang w:val="es-ES"/>
        </w:rPr>
        <w:t xml:space="preserve">con todas las comodidades y </w:t>
      </w:r>
      <w:r w:rsidR="004742E3" w:rsidRPr="00FE69FE">
        <w:rPr>
          <w:rFonts w:ascii="Aptos" w:hAnsi="Aptos"/>
          <w:color w:val="000000" w:themeColor="text1"/>
          <w:szCs w:val="20"/>
          <w:lang w:val="es-ES"/>
        </w:rPr>
        <w:t xml:space="preserve">especificaciones que requiere el trabajo de </w:t>
      </w:r>
      <w:r w:rsidR="006F78E0" w:rsidRPr="00FE69FE">
        <w:rPr>
          <w:rFonts w:ascii="Aptos" w:hAnsi="Aptos"/>
          <w:color w:val="000000" w:themeColor="text1"/>
          <w:szCs w:val="20"/>
          <w:lang w:val="es-ES"/>
        </w:rPr>
        <w:t>Diseñadores y Creativos</w:t>
      </w:r>
      <w:r w:rsidR="00F73F7F" w:rsidRPr="00FE69FE">
        <w:rPr>
          <w:rFonts w:ascii="Aptos" w:hAnsi="Aptos"/>
          <w:color w:val="000000" w:themeColor="text1"/>
          <w:szCs w:val="20"/>
          <w:lang w:val="es-ES"/>
        </w:rPr>
        <w:t>.</w:t>
      </w:r>
    </w:p>
    <w:p w14:paraId="1E105ACA" w14:textId="77777777" w:rsidR="00CE15E9" w:rsidRPr="001A1CD0" w:rsidRDefault="00CE15E9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0E2D6826" w14:textId="77777777" w:rsidR="00861F0C" w:rsidRPr="001A1CD0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1A1CD0">
        <w:rPr>
          <w:rFonts w:ascii="Aptos" w:hAnsi="Aptos"/>
          <w:b/>
          <w:bCs/>
          <w:color w:val="000000" w:themeColor="text1"/>
          <w:szCs w:val="20"/>
          <w:lang w:val="es-ES"/>
        </w:rPr>
        <w:t>BenQ PD32236G Monitor para Diseñadores de 32” 4K 144Hz Thunderbolt 4</w:t>
      </w:r>
    </w:p>
    <w:p w14:paraId="15B68FD1" w14:textId="09C0BB0D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El BenQ PD3226G es un monitor para creativos de 32” 4K UHD diseñado para profesionales de desarrollo de videojuegos, animación y efectos visuales, ofreciendo una combinación perfecta de precisión, rendimiento y versatilidad. Su tasa de refresco de 144Hz proporciona una claridad de movimiento </w:t>
      </w:r>
      <w:proofErr w:type="gramStart"/>
      <w:r w:rsidRPr="00FE69FE">
        <w:rPr>
          <w:rFonts w:ascii="Aptos" w:hAnsi="Aptos"/>
          <w:color w:val="000000" w:themeColor="text1"/>
          <w:szCs w:val="20"/>
          <w:lang w:val="es-ES"/>
        </w:rPr>
        <w:t>ultra suave</w:t>
      </w:r>
      <w:proofErr w:type="gram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, lo que lo hace ideal para flujos de trabajo rápidos. La tecnología AQCOLOR de BenQ asegura una precisión de color Delta E </w:t>
      </w:r>
      <w:r w:rsidRPr="00FE69FE">
        <w:rPr>
          <w:rFonts w:ascii="Aptos" w:hAnsi="Aptos" w:cs="Cambria Math"/>
          <w:color w:val="000000" w:themeColor="text1"/>
          <w:szCs w:val="20"/>
          <w:lang w:val="es-ES"/>
        </w:rPr>
        <w:t>≤</w:t>
      </w:r>
      <w:r w:rsidRPr="00FE69FE">
        <w:rPr>
          <w:rFonts w:ascii="Aptos" w:hAnsi="Aptos"/>
          <w:color w:val="000000" w:themeColor="text1"/>
          <w:szCs w:val="20"/>
          <w:lang w:val="es-ES"/>
        </w:rPr>
        <w:t xml:space="preserve"> 2, 95% P3 y 100%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sRGB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>/Rec.709, con calibraci</w:t>
      </w:r>
      <w:r w:rsidRPr="00FE69FE">
        <w:rPr>
          <w:rFonts w:ascii="Aptos" w:hAnsi="Aptos" w:cs="Abadi"/>
          <w:color w:val="000000" w:themeColor="text1"/>
          <w:szCs w:val="20"/>
          <w:lang w:val="es-ES"/>
        </w:rPr>
        <w:t>ó</w:t>
      </w:r>
      <w:r w:rsidRPr="00FE69FE">
        <w:rPr>
          <w:rFonts w:ascii="Aptos" w:hAnsi="Aptos"/>
          <w:color w:val="000000" w:themeColor="text1"/>
          <w:szCs w:val="20"/>
          <w:lang w:val="es-ES"/>
        </w:rPr>
        <w:t>n de f</w:t>
      </w:r>
      <w:r w:rsidRPr="00FE69FE">
        <w:rPr>
          <w:rFonts w:ascii="Aptos" w:hAnsi="Aptos" w:cs="Abadi"/>
          <w:color w:val="000000" w:themeColor="text1"/>
          <w:szCs w:val="20"/>
          <w:lang w:val="es-ES"/>
        </w:rPr>
        <w:t>á</w:t>
      </w:r>
      <w:r w:rsidRPr="00FE69FE">
        <w:rPr>
          <w:rFonts w:ascii="Aptos" w:hAnsi="Aptos"/>
          <w:color w:val="000000" w:themeColor="text1"/>
          <w:szCs w:val="20"/>
          <w:lang w:val="es-ES"/>
        </w:rPr>
        <w:t>brica y validaci</w:t>
      </w:r>
      <w:r w:rsidRPr="00FE69FE">
        <w:rPr>
          <w:rFonts w:ascii="Aptos" w:hAnsi="Aptos" w:cs="Abadi"/>
          <w:color w:val="000000" w:themeColor="text1"/>
          <w:szCs w:val="20"/>
          <w:lang w:val="es-ES"/>
        </w:rPr>
        <w:t>ó</w:t>
      </w:r>
      <w:r w:rsidRPr="00FE69FE">
        <w:rPr>
          <w:rFonts w:ascii="Aptos" w:hAnsi="Aptos"/>
          <w:color w:val="000000" w:themeColor="text1"/>
          <w:szCs w:val="20"/>
          <w:lang w:val="es-ES"/>
        </w:rPr>
        <w:t xml:space="preserve">n Pantone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SkinTone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para una fidelidad de color realista. Equipado con conectividad avanzada Thunderbolt 4, el monitor soporta transferencia de datos de 40Gbps, entrega de energía de 90W y encadenamiento en cadena (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daisy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chain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) dual 4K para una máxima productividad. Diseñado con la ergonomía en mente, ofrece ajustes de altura, inclinación, giro y pivote para un confort óptimo durante largas sesiones creativas. Optimizado para usuarios de Mac, cuenta con el modo M-Book para una coincidencia precisa de colores y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ICCsync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para una sincronización fluida de perfiles. Otras características incluyen un interruptor KVM integrado para controlar dos sistemas con un solo teclado y ratón, y un control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Hotkey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Puck inalámbrico para un acceso rápido a la luminosidad, contraste y otros ajustes. El PD3226G es la herramienta definitiva para los creadores que buscan rendimiento y precisión de color para dar vida a sus visiones.</w:t>
      </w:r>
    </w:p>
    <w:p w14:paraId="17B806DE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09EC2022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Características Principales:</w:t>
      </w:r>
    </w:p>
    <w:p w14:paraId="144304C0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144Hz de refresco para una claridad de movimiento precisa</w:t>
      </w:r>
    </w:p>
    <w:p w14:paraId="6A19EA00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>La tasa de refresco de 144Hz mejora la claridad de movimiento, ofreciendo imágenes ultrafluidas y precisas, esenciales para diseñadores de videojuegos. Optimizado para desarrollo de juegos, animación y flujos de trabajo de alta exigencia.</w:t>
      </w:r>
    </w:p>
    <w:p w14:paraId="7F33014D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62C5D81D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proofErr w:type="spellStart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Confíanza</w:t>
      </w:r>
      <w:proofErr w:type="spellEnd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 xml:space="preserve"> en el color</w:t>
      </w:r>
    </w:p>
    <w:p w14:paraId="5B00B52A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BenQ AQCOLOR garantiza una **"Reproducción Precisa"**, ofreciendo precisión de color lista para usar con Delta E </w:t>
      </w:r>
      <w:r w:rsidRPr="00FE69FE">
        <w:rPr>
          <w:rFonts w:ascii="Aptos" w:hAnsi="Aptos" w:cs="Cambria Math"/>
          <w:color w:val="000000" w:themeColor="text1"/>
          <w:szCs w:val="20"/>
          <w:lang w:val="es-ES"/>
        </w:rPr>
        <w:t>≤</w:t>
      </w:r>
      <w:r w:rsidRPr="00FE69FE">
        <w:rPr>
          <w:rFonts w:ascii="Aptos" w:hAnsi="Aptos"/>
          <w:color w:val="000000" w:themeColor="text1"/>
          <w:szCs w:val="20"/>
          <w:lang w:val="es-ES"/>
        </w:rPr>
        <w:t xml:space="preserve"> 2, una cobertura de color amplia del 95 % P3, uniformidad de esquina a esquina y un informe de calibración de fábrica. Todas las características se prueban rigurosamente para garantizar la coherencia, brindando a los diseñadores una precisión inigualable y total confianza en el color.</w:t>
      </w:r>
    </w:p>
    <w:p w14:paraId="4532E3ED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4C5EC281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Certificado por reconocidos sellos independientes</w:t>
      </w:r>
    </w:p>
    <w:p w14:paraId="6A58ACAC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Con validación Pantone y Pantone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SkinTone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>, diseñado para profesionales que necesitan una pantalla que logre la máxima autenticidad al mostrar colores del mundo real.</w:t>
      </w:r>
    </w:p>
    <w:p w14:paraId="66E52C35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Cada monitor BenQ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DesignVue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para diseñadores está completamente verificado por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CalMan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>. Los profesionales creativos exigen excelencia, y BenQ lo cumple.</w:t>
      </w:r>
    </w:p>
    <w:p w14:paraId="00DDD269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58DDC1DC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Colores siempre precisos y consistentes</w:t>
      </w:r>
    </w:p>
    <w:p w14:paraId="4E630C35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lastRenderedPageBreak/>
        <w:t>Ofrece precisión de color a largo plazo y una gestión del color intuitiva en todas las pantallas, proporcionando una base de confianza para que los creadores diseñen con autenticidad y perfeccionen cada detalle.</w:t>
      </w:r>
    </w:p>
    <w:p w14:paraId="48D83927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2A15563A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 xml:space="preserve">Software de calibración BenQ </w:t>
      </w:r>
      <w:proofErr w:type="spellStart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Palette</w:t>
      </w:r>
      <w:proofErr w:type="spellEnd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 xml:space="preserve"> </w:t>
      </w:r>
      <w:proofErr w:type="gramStart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Master</w:t>
      </w:r>
      <w:proofErr w:type="gramEnd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 xml:space="preserve"> Ultimate</w:t>
      </w:r>
    </w:p>
    <w:p w14:paraId="0F99A65F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>Logra una coincidencia de color más precisa. Ofrece una calibración sencilla sin necesidad de experiencia. Sigue menús visuales e indicaciones claras para una calibración por software que cumple con los estándares internacionales.</w:t>
      </w:r>
    </w:p>
    <w:p w14:paraId="14903FF0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Si no tienes calibrador, descarga el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Display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ColorTalk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 para una coincidencia de color intuitiva, ¡sin necesidad de herramientas adicionales!</w:t>
      </w:r>
    </w:p>
    <w:p w14:paraId="7CF1A137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5CC2C2AD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Conexión Thunderbolt 4 todo en uno</w:t>
      </w:r>
    </w:p>
    <w:p w14:paraId="36B33EE4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>Thunderbolt 4 transmite imágenes, vídeos y datos sin interrupciones, proporcionando hasta 90W de potencia a través de un solo cable. Admite una transferencia de datos ultrarrápida de 40 Gbps y la conexión de hasta dos monitores 4K o un monitor 8K. Además, es totalmente compatible con USB-C.</w:t>
      </w:r>
    </w:p>
    <w:p w14:paraId="158074B7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7C0A59AF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 xml:space="preserve">Daisy </w:t>
      </w:r>
      <w:proofErr w:type="spellStart"/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Chain</w:t>
      </w:r>
      <w:proofErr w:type="spellEnd"/>
    </w:p>
    <w:p w14:paraId="341F7A2C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 xml:space="preserve">La conexión en cadena (Daisy </w:t>
      </w:r>
      <w:proofErr w:type="spellStart"/>
      <w:r w:rsidRPr="00FE69FE">
        <w:rPr>
          <w:rFonts w:ascii="Aptos" w:hAnsi="Aptos"/>
          <w:color w:val="000000" w:themeColor="text1"/>
          <w:szCs w:val="20"/>
          <w:lang w:val="es-ES"/>
        </w:rPr>
        <w:t>Chain</w:t>
      </w:r>
      <w:proofErr w:type="spellEnd"/>
      <w:r w:rsidRPr="00FE69FE">
        <w:rPr>
          <w:rFonts w:ascii="Aptos" w:hAnsi="Aptos"/>
          <w:color w:val="000000" w:themeColor="text1"/>
          <w:szCs w:val="20"/>
          <w:lang w:val="es-ES"/>
        </w:rPr>
        <w:t xml:space="preserve">) amplía tu espacio de trabajo a dos monitores 4K 144Hz, gracias a la alta velocidad de transferencia.  </w:t>
      </w:r>
    </w:p>
    <w:p w14:paraId="369EBD88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02D9D231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KVM integrado</w:t>
      </w:r>
    </w:p>
    <w:p w14:paraId="796155B9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>Con la funcionalidad de KVM integrado (teclado, vídeo y ratón), los monitores permiten controlar dos sistemas con un solo conjunto de teclado y ratón. Cambia entre ellos con un clic para mejorar la eficiencia.</w:t>
      </w:r>
    </w:p>
    <w:p w14:paraId="262295B1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</w:p>
    <w:p w14:paraId="17D57F0B" w14:textId="77777777" w:rsidR="00861F0C" w:rsidRPr="00FE69FE" w:rsidRDefault="00861F0C" w:rsidP="00FE69FE">
      <w:pPr>
        <w:spacing w:line="240" w:lineRule="auto"/>
        <w:rPr>
          <w:rFonts w:ascii="Aptos" w:hAnsi="Aptos"/>
          <w:b/>
          <w:bCs/>
          <w:color w:val="000000" w:themeColor="text1"/>
          <w:szCs w:val="20"/>
          <w:lang w:val="es-ES"/>
        </w:rPr>
      </w:pPr>
      <w:r w:rsidRPr="00FE69FE">
        <w:rPr>
          <w:rFonts w:ascii="Aptos" w:hAnsi="Aptos"/>
          <w:b/>
          <w:bCs/>
          <w:color w:val="000000" w:themeColor="text1"/>
          <w:szCs w:val="20"/>
          <w:lang w:val="es-ES"/>
        </w:rPr>
        <w:t>Trabaja sin reflejos en la pantalla</w:t>
      </w:r>
    </w:p>
    <w:p w14:paraId="7477975E" w14:textId="77777777" w:rsidR="00861F0C" w:rsidRPr="00FE69FE" w:rsidRDefault="00861F0C" w:rsidP="00FE69FE">
      <w:pPr>
        <w:spacing w:line="240" w:lineRule="auto"/>
        <w:rPr>
          <w:rFonts w:ascii="Aptos" w:hAnsi="Aptos"/>
          <w:color w:val="000000" w:themeColor="text1"/>
          <w:szCs w:val="20"/>
          <w:lang w:val="es-ES"/>
        </w:rPr>
      </w:pPr>
      <w:r w:rsidRPr="00FE69FE">
        <w:rPr>
          <w:rFonts w:ascii="Aptos" w:hAnsi="Aptos"/>
          <w:color w:val="000000" w:themeColor="text1"/>
          <w:szCs w:val="20"/>
          <w:lang w:val="es-ES"/>
        </w:rPr>
        <w:t>El panel Nano Matte de BenQ cuenta con certificación TÜV como libre de reflejos, lo que significa que difunde la luz ambiental y te permite ver tu trabajo con precisión sin reflejos en la pantalla. Disfruta de una mayor comodidad visual durante largas sesiones de diseño.</w:t>
      </w:r>
    </w:p>
    <w:p w14:paraId="2F105E04" w14:textId="77777777" w:rsidR="00CE15E9" w:rsidRPr="00FE69FE" w:rsidRDefault="00CE15E9" w:rsidP="00FE69FE">
      <w:pPr>
        <w:rPr>
          <w:rFonts w:ascii="Aptos" w:hAnsi="Aptos"/>
          <w:color w:val="000000" w:themeColor="text1"/>
          <w:szCs w:val="20"/>
          <w:lang w:val="es-ES"/>
        </w:rPr>
      </w:pPr>
    </w:p>
    <w:tbl>
      <w:tblPr>
        <w:tblW w:w="70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2410"/>
        <w:gridCol w:w="2977"/>
      </w:tblGrid>
      <w:tr w:rsidR="00194339" w:rsidRPr="00194339" w14:paraId="56DF6259" w14:textId="77777777" w:rsidTr="00194339">
        <w:trPr>
          <w:trHeight w:val="32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030A0"/>
            <w:noWrap/>
            <w:vAlign w:val="center"/>
            <w:hideMark/>
          </w:tcPr>
          <w:p w14:paraId="18F96BB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>Spec</w:t>
            </w:r>
            <w:proofErr w:type="spellEnd"/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>Category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7030A0"/>
            <w:noWrap/>
            <w:vAlign w:val="center"/>
            <w:hideMark/>
          </w:tcPr>
          <w:p w14:paraId="33A5A5C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>Spec</w:t>
            </w:r>
            <w:proofErr w:type="spellEnd"/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>Attribute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7030A0"/>
            <w:vAlign w:val="center"/>
            <w:hideMark/>
          </w:tcPr>
          <w:p w14:paraId="74D6289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FFFFFF"/>
                <w:kern w:val="0"/>
                <w:sz w:val="24"/>
                <w:szCs w:val="24"/>
                <w:lang w:val="es-ES" w:eastAsia="en-AU"/>
              </w:rPr>
              <w:t>PD3226G</w:t>
            </w:r>
          </w:p>
        </w:tc>
      </w:tr>
      <w:tr w:rsidR="00194339" w:rsidRPr="00194339" w14:paraId="28501692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CCCD2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System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E7C67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Product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Segment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6510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Vertical</w:t>
            </w:r>
          </w:p>
        </w:tc>
      </w:tr>
      <w:tr w:rsidR="00194339" w:rsidRPr="00194339" w14:paraId="33935BF1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7EB76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System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4DE3F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Sub-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Segment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08CB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Designer</w:t>
            </w:r>
            <w:proofErr w:type="spellEnd"/>
          </w:p>
        </w:tc>
      </w:tr>
      <w:tr w:rsidR="00194339" w:rsidRPr="00194339" w14:paraId="7AA94479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3AF20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631F2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Screen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Size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AFE32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31.5</w:t>
            </w:r>
          </w:p>
        </w:tc>
      </w:tr>
      <w:tr w:rsidR="00194339" w:rsidRPr="00194339" w14:paraId="14B9ABE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B4CDD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9A2E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Aspect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Ratio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FC0E3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16:09</w:t>
            </w:r>
          </w:p>
        </w:tc>
      </w:tr>
      <w:tr w:rsidR="00194339" w:rsidRPr="00194339" w14:paraId="62906B4E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04433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93525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Panel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Type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AF11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IPS</w:t>
            </w:r>
          </w:p>
        </w:tc>
      </w:tr>
      <w:tr w:rsidR="00194339" w:rsidRPr="00194339" w14:paraId="67DC905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7168B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CB75C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Backlight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Technology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2DED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LED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backlight</w:t>
            </w:r>
            <w:proofErr w:type="spellEnd"/>
          </w:p>
        </w:tc>
      </w:tr>
      <w:tr w:rsidR="00194339" w:rsidRPr="00194339" w14:paraId="3F757AEE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9A1B1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0E381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Resolution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max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8BACE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3840x2160</w:t>
            </w:r>
          </w:p>
        </w:tc>
      </w:tr>
      <w:tr w:rsidR="00194339" w:rsidRPr="00194339" w14:paraId="3B900BC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F9C1D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E5CF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Viewing Angle (L/R) (CR&gt;=10)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0BC2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178°/178°</w:t>
            </w:r>
          </w:p>
        </w:tc>
      </w:tr>
      <w:tr w:rsidR="00194339" w:rsidRPr="00194339" w14:paraId="6F591CB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1F92D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508CD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Brightness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peak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)(HDR)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79B9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400 cd/m2 </w:t>
            </w:r>
          </w:p>
        </w:tc>
      </w:tr>
      <w:tr w:rsidR="00194339" w:rsidRPr="00194339" w14:paraId="0CE88FA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AF740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03A2A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Brightness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typ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31C7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400 cd/m2 </w:t>
            </w:r>
          </w:p>
        </w:tc>
      </w:tr>
      <w:tr w:rsidR="00194339" w:rsidRPr="00194339" w14:paraId="742DE5AB" w14:textId="77777777" w:rsidTr="00194339">
        <w:trPr>
          <w:trHeight w:val="5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B9B8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lastRenderedPageBreak/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EAB48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Color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Gamut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B9B9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100% sRGB;100% Rec.709;95% P3</w:t>
            </w:r>
          </w:p>
        </w:tc>
      </w:tr>
      <w:tr w:rsidR="00194339" w:rsidRPr="00194339" w14:paraId="5E800F83" w14:textId="77777777" w:rsidTr="00194339">
        <w:trPr>
          <w:trHeight w:val="4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D0D93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29013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Color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Temperature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19C9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de-DE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de-DE" w:eastAsia="en-AU"/>
              </w:rPr>
              <w:t>5000K;6500K;9300K;User Define</w:t>
            </w:r>
          </w:p>
        </w:tc>
      </w:tr>
      <w:tr w:rsidR="00194339" w:rsidRPr="00194339" w14:paraId="630E9F50" w14:textId="77777777" w:rsidTr="00194339">
        <w:trPr>
          <w:trHeight w:val="38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DFEE3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C23B0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Mode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F320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1:1;Aspect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Ratio;Full</w:t>
            </w:r>
            <w:proofErr w:type="spellEnd"/>
          </w:p>
        </w:tc>
      </w:tr>
      <w:tr w:rsidR="00194339" w:rsidRPr="00194339" w14:paraId="6A629CE4" w14:textId="77777777" w:rsidTr="00194339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2B46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D096C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Gamma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65B8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1.8 - 2.6,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sRGB</w:t>
            </w:r>
            <w:proofErr w:type="spellEnd"/>
          </w:p>
        </w:tc>
      </w:tr>
      <w:tr w:rsidR="00194339" w:rsidRPr="00194339" w14:paraId="64D23522" w14:textId="77777777" w:rsidTr="00194339">
        <w:trPr>
          <w:trHeight w:val="33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29B5E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3498B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HDR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4767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HDR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10;VESA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DisplayHDR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400</w:t>
            </w:r>
          </w:p>
        </w:tc>
      </w:tr>
      <w:tr w:rsidR="00194339" w:rsidRPr="00194339" w14:paraId="2DA9B90E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4D3B2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E262C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Native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Contrast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3C3C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1200:01:00</w:t>
            </w:r>
          </w:p>
        </w:tc>
      </w:tr>
      <w:tr w:rsidR="00194339" w:rsidRPr="00194339" w14:paraId="0E4FC07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2D095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B459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Refresh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Rate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(Hz)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39E69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144</w:t>
            </w:r>
          </w:p>
        </w:tc>
      </w:tr>
      <w:tr w:rsidR="00194339" w:rsidRPr="00194339" w14:paraId="300C5683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7631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C0EBE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Response Times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GtG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6DD8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16D6C43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5F9F5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712FA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PPI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D684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140</w:t>
            </w:r>
          </w:p>
        </w:tc>
      </w:tr>
      <w:tr w:rsidR="00194339" w:rsidRPr="00194339" w14:paraId="6BB44430" w14:textId="77777777" w:rsidTr="00194339">
        <w:trPr>
          <w:trHeight w:val="53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312F1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E8746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Colors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64E3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1.07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billion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colors</w:t>
            </w:r>
            <w:proofErr w:type="spellEnd"/>
          </w:p>
        </w:tc>
      </w:tr>
      <w:tr w:rsidR="00194339" w:rsidRPr="00194339" w14:paraId="1410A99B" w14:textId="77777777" w:rsidTr="00194339">
        <w:trPr>
          <w:trHeight w:val="79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A8D0F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653A0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Area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6FA4C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698.11mm(H) x 392.69mm(V)</w:t>
            </w:r>
          </w:p>
        </w:tc>
      </w:tr>
      <w:tr w:rsidR="00194339" w:rsidRPr="00194339" w14:paraId="343D343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474DD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82033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Screen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Coating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2A4E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Nano Matte</w:t>
            </w:r>
          </w:p>
        </w:tc>
      </w:tr>
      <w:tr w:rsidR="00194339" w:rsidRPr="00194339" w14:paraId="5A6C415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091D5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B65F2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Pixel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Pitch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D33E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0.182</w:t>
            </w:r>
          </w:p>
        </w:tc>
      </w:tr>
      <w:tr w:rsidR="00194339" w:rsidRPr="00194339" w14:paraId="42C19442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13711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E6219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Color Bit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A3C4C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10</w:t>
            </w:r>
          </w:p>
        </w:tc>
      </w:tr>
      <w:tr w:rsidR="00194339" w:rsidRPr="00194339" w14:paraId="3D9F6B8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61932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5602B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HDCP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353B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2.3</w:t>
            </w:r>
          </w:p>
        </w:tc>
      </w:tr>
      <w:tr w:rsidR="00194339" w:rsidRPr="00194339" w14:paraId="78A45BC9" w14:textId="77777777" w:rsidTr="00194339">
        <w:trPr>
          <w:trHeight w:val="417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ECB79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4AFEE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OSD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Language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0E95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proofErr w:type="spellStart"/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Arabic;Chinese</w:t>
            </w:r>
            <w:proofErr w:type="spellEnd"/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(simplified);Chinese (traditional);Czech;Deutsch;English;French;Hungarian;Italian;Japanese;Korean;Netherlands;Polish;Portuguese;Romanian;Russian;Spanish;Swedish</w:t>
            </w:r>
          </w:p>
        </w:tc>
      </w:tr>
      <w:tr w:rsidR="00194339" w:rsidRPr="00194339" w14:paraId="36E4FDA1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621C2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DF51B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DFCB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1C2944ED" w14:textId="77777777" w:rsidTr="00194339">
        <w:trPr>
          <w:trHeight w:val="235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2DAB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ED4E0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Color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Mode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87C6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User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1;User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2;DCI-P3;Display P3;Rec.709;sRGB;HDR;M-Book;DICOM;CAD/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CAM;Animation;Darkroom</w:t>
            </w:r>
            <w:proofErr w:type="spellEnd"/>
          </w:p>
        </w:tc>
      </w:tr>
      <w:tr w:rsidR="00194339" w:rsidRPr="00194339" w14:paraId="13ABF117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45F2D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820B8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Burn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-in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Cleaner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129C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35D67D4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4CAB4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53141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Zero Bright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Dot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7702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33BB661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91095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lastRenderedPageBreak/>
              <w:t>Audio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1F8AA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Built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-in Speaker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6BF7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3Wx2</w:t>
            </w:r>
          </w:p>
        </w:tc>
      </w:tr>
      <w:tr w:rsidR="00194339" w:rsidRPr="00194339" w14:paraId="17798D8D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49170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Audio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04BBF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Headphone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Jack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AA49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340337BB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38196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Video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Signal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Data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32C98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Hor.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Frequency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(KHz)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9FC5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27-326</w:t>
            </w:r>
          </w:p>
        </w:tc>
      </w:tr>
      <w:tr w:rsidR="00194339" w:rsidRPr="00194339" w14:paraId="1DD6A9D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7DC06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Video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Signal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Data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4ADD2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Ver.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Frequency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(Hz)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11E6F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24-144</w:t>
            </w:r>
          </w:p>
        </w:tc>
      </w:tr>
      <w:tr w:rsidR="00194339" w:rsidRPr="00194339" w14:paraId="3104FA8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3E463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Video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Signal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Data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1987A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Video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Bandwidth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(MHZ)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5BDF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1310</w:t>
            </w:r>
          </w:p>
        </w:tc>
      </w:tr>
      <w:tr w:rsidR="00194339" w:rsidRPr="00194339" w14:paraId="45F78D3D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0BF26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5FE9D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Voltage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Rating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B617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100 - 240V</w:t>
            </w:r>
          </w:p>
        </w:tc>
      </w:tr>
      <w:tr w:rsidR="00194339" w:rsidRPr="00194339" w14:paraId="0497E21B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F24A0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0EEBD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Consumption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(normal)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79CC1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55</w:t>
            </w:r>
          </w:p>
        </w:tc>
      </w:tr>
      <w:tr w:rsidR="00194339" w:rsidRPr="00194339" w14:paraId="3A5542E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9E56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73423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Consumption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max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C10E7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240</w:t>
            </w:r>
          </w:p>
        </w:tc>
      </w:tr>
      <w:tr w:rsidR="00194339" w:rsidRPr="00194339" w14:paraId="2EF7F4F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F35C1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20106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Consumption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sleep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mode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23296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&lt; 0.5</w:t>
            </w:r>
          </w:p>
        </w:tc>
      </w:tr>
      <w:tr w:rsidR="00194339" w:rsidRPr="00194339" w14:paraId="1E2B0B4D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7C6E9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AB2A5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Supply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407C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Built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-in</w:t>
            </w:r>
          </w:p>
        </w:tc>
      </w:tr>
      <w:tr w:rsidR="00194339" w:rsidRPr="00194339" w14:paraId="62F2B4E5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5D50A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ED0D8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Power 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Delivery(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USB C / Thunderbolt 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D110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90</w:t>
            </w:r>
          </w:p>
        </w:tc>
      </w:tr>
      <w:tr w:rsidR="00194339" w:rsidRPr="00194339" w14:paraId="5C8EB367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12AB5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486B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Tilt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down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/up)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01CD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-5˚ - 20˚</w:t>
            </w:r>
          </w:p>
        </w:tc>
      </w:tr>
      <w:tr w:rsidR="00194339" w:rsidRPr="00194339" w14:paraId="6157566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54DD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08C9C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Swivel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left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/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right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320E3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30˚/30˚</w:t>
            </w:r>
          </w:p>
        </w:tc>
      </w:tr>
      <w:tr w:rsidR="00194339" w:rsidRPr="00194339" w14:paraId="76B44305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9A76C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CB5D1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Pivot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F79E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90˚</w:t>
            </w:r>
          </w:p>
        </w:tc>
      </w:tr>
      <w:tr w:rsidR="00194339" w:rsidRPr="00194339" w14:paraId="4CF7D85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7C082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52C62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Height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Adjustment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Stand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94A6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150</w:t>
            </w:r>
          </w:p>
        </w:tc>
      </w:tr>
      <w:tr w:rsidR="00194339" w:rsidRPr="00194339" w14:paraId="6013E01A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3243D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6058B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CTN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Dimensions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HxWxD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 (mm)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8D36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670x790x188</w:t>
            </w:r>
          </w:p>
        </w:tc>
      </w:tr>
      <w:tr w:rsidR="00194339" w:rsidRPr="00194339" w14:paraId="68DFB67A" w14:textId="77777777" w:rsidTr="00194339">
        <w:trPr>
          <w:trHeight w:val="79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8927A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C3F6B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Dimensions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  (</w:t>
            </w:r>
            <w:proofErr w:type="spellStart"/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HxWxD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Landscape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 (mm)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561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486.3-636.3x714.3x242</w:t>
            </w:r>
          </w:p>
        </w:tc>
      </w:tr>
      <w:tr w:rsidR="00194339" w:rsidRPr="00194339" w14:paraId="0BFF7299" w14:textId="77777777" w:rsidTr="00194339">
        <w:trPr>
          <w:trHeight w:val="79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68456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3B6D8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Dimensions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HxWxD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 (mm)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5266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486.3-636.3x714.3x242</w:t>
            </w:r>
          </w:p>
        </w:tc>
      </w:tr>
      <w:tr w:rsidR="00194339" w:rsidRPr="00194339" w14:paraId="57136063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DC130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D1C26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K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Locker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1C271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B64507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658C0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BAE9F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VESA Wall Mount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AEDD1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100x100</w:t>
            </w:r>
          </w:p>
        </w:tc>
      </w:tr>
      <w:tr w:rsidR="00194339" w:rsidRPr="00194339" w14:paraId="5695C526" w14:textId="77777777" w:rsidTr="00194339">
        <w:trPr>
          <w:trHeight w:val="53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70876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084D6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Dimensions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HxWxD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Pivot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 (mm)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DEBA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775.9x430.5x242</w:t>
            </w:r>
          </w:p>
        </w:tc>
      </w:tr>
      <w:tr w:rsidR="00194339" w:rsidRPr="00194339" w14:paraId="5DCDA442" w14:textId="77777777" w:rsidTr="00194339">
        <w:trPr>
          <w:trHeight w:val="53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B9231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3EC7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pt-PT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pt-PT" w:eastAsia="en-AU"/>
              </w:rPr>
              <w:t>Dimensions  (HxWxD) (w/o Base) (mm)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146E0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430.5x714.3x75.7</w:t>
            </w:r>
          </w:p>
        </w:tc>
      </w:tr>
      <w:tr w:rsidR="00194339" w:rsidRPr="00194339" w14:paraId="11BA8955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36E2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51FB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Net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(kg)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E71A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9.7</w:t>
            </w:r>
          </w:p>
        </w:tc>
      </w:tr>
      <w:tr w:rsidR="00194339" w:rsidRPr="00194339" w14:paraId="52BAB77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3332C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30FA2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Net Weight (w/o 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Base)(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kg)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8900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7</w:t>
            </w:r>
          </w:p>
        </w:tc>
      </w:tr>
      <w:tr w:rsidR="00194339" w:rsidRPr="00194339" w14:paraId="6005AB8F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1DE07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Dimension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and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384B6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Gross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Weight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(kg)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2A8E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14.6</w:t>
            </w:r>
          </w:p>
        </w:tc>
      </w:tr>
      <w:tr w:rsidR="00194339" w:rsidRPr="00194339" w14:paraId="58FB2515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93756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Accessories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0BABD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Cable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C0C2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1.8</w:t>
            </w:r>
          </w:p>
        </w:tc>
      </w:tr>
      <w:tr w:rsidR="00194339" w:rsidRPr="00194339" w14:paraId="32B0A9FC" w14:textId="77777777" w:rsidTr="00194339">
        <w:trPr>
          <w:trHeight w:val="131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A8C9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lastRenderedPageBreak/>
              <w:t>Accessories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7F6CC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Signal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Cable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C901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HDMI (v2.1);</w:t>
            </w: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softHyphen/>
              <w:t>Thunderbolt 4(1m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);USB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3.2</w:t>
            </w:r>
          </w:p>
        </w:tc>
      </w:tr>
      <w:tr w:rsidR="00194339" w:rsidRPr="00194339" w14:paraId="2436BD6A" w14:textId="77777777" w:rsidTr="00194339">
        <w:trPr>
          <w:trHeight w:val="235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75E40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Accessories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BA360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Other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Accessories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6FDE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proofErr w:type="spellStart"/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QSG;Warranty</w:t>
            </w:r>
            <w:proofErr w:type="spellEnd"/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Card;Calibration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Report;Safety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Instruction;Hotkey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Puck G3</w:t>
            </w:r>
          </w:p>
        </w:tc>
      </w:tr>
      <w:tr w:rsidR="00194339" w:rsidRPr="00194339" w14:paraId="310E5AA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0D5E1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DF058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DisplayPort (v1.4)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4B55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18DF6F2B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B9409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ECA7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HDMI (v2.1)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A6EF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36887471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B8870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02F0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Thunderbolt 4 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PowerDelivery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90W, DisplayPort Alt Mode, Data)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89DB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22D12A2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7D48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D1828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Thunderbolt 4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out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(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PowerDelivery</w:t>
            </w:r>
            <w:proofErr w:type="spellEnd"/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15W 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9716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312A701A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4B05E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EC37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Daisy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Chain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Technology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E785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Thunderbolt</w:t>
            </w:r>
          </w:p>
        </w:tc>
      </w:tr>
      <w:tr w:rsidR="00194339" w:rsidRPr="00194339" w14:paraId="39054031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1B638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C5C97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USB C 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( DisplayPort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Alt Mode, Data, not support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PowerDelivery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FE15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 </w:t>
            </w:r>
          </w:p>
        </w:tc>
      </w:tr>
      <w:tr w:rsidR="00194339" w:rsidRPr="00194339" w14:paraId="346AC878" w14:textId="77777777" w:rsidTr="00194339">
        <w:trPr>
          <w:trHeight w:val="53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7C735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628F4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All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-in-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One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Connection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F5E2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Thunderbolt(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3/4/5)</w:t>
            </w:r>
          </w:p>
        </w:tc>
      </w:tr>
      <w:tr w:rsidR="00194339" w:rsidRPr="00194339" w14:paraId="2CA284F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996B1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AD9CA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USB Type-A downstream (USB 3.2 Gen 2, 10 Gbps, power charging 4.5W)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0A4E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3</w:t>
            </w:r>
          </w:p>
        </w:tc>
      </w:tr>
      <w:tr w:rsidR="00194339" w:rsidRPr="00194339" w14:paraId="20283D0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D3ABC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72E0E4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USB Type-C downstream (USB 3.2 Gen 2, 10 Gbps, power charging 4.5W)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A69C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02EC80F5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B8F6B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Connectivity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D18B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USB Type-C upstream (USB 3.2 Gen 2, 10 Gbps, data only)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A806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1</w:t>
            </w:r>
          </w:p>
        </w:tc>
      </w:tr>
      <w:tr w:rsidR="00194339" w:rsidRPr="00194339" w14:paraId="4904CCC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1BD77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Eye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Care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5233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Low Blue Light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C47D3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0477589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3186E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Eye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Care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1108C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Flicker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-free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Technology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9E73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2F3C93BB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E29C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E6062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Mac Compatible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878D1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7F77601A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FC47B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5949E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Windows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®  WHQL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5ACE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Windows®11</w:t>
            </w:r>
          </w:p>
        </w:tc>
      </w:tr>
      <w:tr w:rsidR="00194339" w:rsidRPr="00194339" w14:paraId="0644DDA7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AEB02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A8481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Calman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Verified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2939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EB1C11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F80252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7DD58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Pantone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SkinTone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™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Validated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5C92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6260BC7D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4981E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0A0A2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Pantone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Validated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348F0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08A12523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2BEE4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614F6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Solidworks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0A11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174C90C2" w14:textId="77777777" w:rsidTr="00194339">
        <w:trPr>
          <w:trHeight w:val="131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A564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lastRenderedPageBreak/>
              <w:t>Certification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DB6B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TUV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Certificate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7762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Flicker-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free;Low</w:t>
            </w:r>
            <w:proofErr w:type="spellEnd"/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Blue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>Light;Reflection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eastAsia="en-AU"/>
              </w:rPr>
              <w:t xml:space="preserve"> Free</w:t>
            </w:r>
          </w:p>
        </w:tc>
      </w:tr>
      <w:tr w:rsidR="00194339" w:rsidRPr="00194339" w14:paraId="6A9B684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5A2D2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41B3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Animation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mode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5278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602D428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FD133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D7C6A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Auto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Pivot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CD70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792A2681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91D27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448B4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Darkroom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mode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F1D0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284D9950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14183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F147C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KVM Switch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5A67D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3E7E2B7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FF6A8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A790E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Video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Format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Support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F5E3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6B9627BD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632A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E1C98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DualView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DBF0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8FC32CA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7F605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9FCBF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CAD/CAM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mode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616F6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F1792E4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353DD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1F50A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PIP/PBP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2404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221919C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6B252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CE0F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Hotkey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Puck G3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06756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291DCB5E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FE780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4E853F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Factory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Calibration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Report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A954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66B1FDF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F9150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6A4CC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Delta E(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avg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CEDF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≤2</w:t>
            </w:r>
          </w:p>
        </w:tc>
      </w:tr>
      <w:tr w:rsidR="00194339" w:rsidRPr="00194339" w14:paraId="6D46A36C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69A3E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C1E2A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ICCsync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22208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6CF74E1E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F851E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Professional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6B0BDE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Uniformity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Technology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334A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3BC7A399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7CCD3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Gaming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DA45D8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FreeSync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Premium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B6618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2BAF21CB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DC099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Software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893A3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Palette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gram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Master</w:t>
            </w:r>
            <w:proofErr w:type="gram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Ultimate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4AD75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E0548B7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B03CB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Software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17104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ColorTalk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74F2D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172B3DB6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C3666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Software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3B5F2B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Pilot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EDCD9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  <w:tr w:rsidR="00194339" w:rsidRPr="00194339" w14:paraId="4685EE49" w14:textId="77777777" w:rsidTr="00194339">
        <w:trPr>
          <w:trHeight w:val="300"/>
          <w:jc w:val="center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B308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Software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19AD7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Display</w:t>
            </w:r>
            <w:proofErr w:type="spellEnd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 xml:space="preserve"> </w:t>
            </w:r>
            <w:proofErr w:type="spellStart"/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Quickit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DDDE1" w14:textId="77777777" w:rsidR="00194339" w:rsidRPr="00194339" w:rsidRDefault="00194339" w:rsidP="0019433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s-ES"/>
              </w:rPr>
            </w:pPr>
            <w:r w:rsidRPr="00194339">
              <w:rPr>
                <w:rFonts w:ascii="Calibri" w:eastAsia="Times New Roman" w:hAnsi="Calibri" w:cs="Calibri"/>
                <w:color w:val="000000"/>
                <w:kern w:val="0"/>
                <w:szCs w:val="20"/>
                <w:lang w:val="es-ES" w:eastAsia="en-AU"/>
              </w:rPr>
              <w:t>Yes</w:t>
            </w:r>
          </w:p>
        </w:tc>
      </w:tr>
    </w:tbl>
    <w:p w14:paraId="2F61BDC5" w14:textId="77777777" w:rsidR="00F373A2" w:rsidRPr="00FE11A0" w:rsidRDefault="00F373A2" w:rsidP="00F373A2">
      <w:pPr>
        <w:rPr>
          <w:rFonts w:ascii="Aptos" w:eastAsiaTheme="minorHAnsi" w:hAnsi="Aptos"/>
          <w:color w:val="000000" w:themeColor="text1"/>
          <w:szCs w:val="20"/>
        </w:rPr>
      </w:pPr>
    </w:p>
    <w:p w14:paraId="30950A59" w14:textId="77777777" w:rsidR="00A14C30" w:rsidRPr="00FE11A0" w:rsidRDefault="00A14C30">
      <w:pPr>
        <w:rPr>
          <w:rFonts w:eastAsiaTheme="minorHAnsi"/>
          <w:color w:val="000000" w:themeColor="text1"/>
          <w:szCs w:val="20"/>
        </w:rPr>
      </w:pPr>
    </w:p>
    <w:sectPr w:rsidR="00A14C30" w:rsidRPr="00FE11A0" w:rsidSect="00D56E18">
      <w:headerReference w:type="default" r:id="rId10"/>
      <w:footerReference w:type="default" r:id="rId11"/>
      <w:pgSz w:w="11906" w:h="16838"/>
      <w:pgMar w:top="1985" w:right="1133" w:bottom="1276" w:left="1440" w:header="851" w:footer="31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78285" w14:textId="77777777" w:rsidR="00D41409" w:rsidRDefault="00D41409" w:rsidP="00267DAB">
      <w:pPr>
        <w:spacing w:after="0" w:line="240" w:lineRule="auto"/>
      </w:pPr>
      <w:r>
        <w:separator/>
      </w:r>
    </w:p>
  </w:endnote>
  <w:endnote w:type="continuationSeparator" w:id="0">
    <w:p w14:paraId="30626D1F" w14:textId="77777777" w:rsidR="00D41409" w:rsidRDefault="00D41409" w:rsidP="00267DAB">
      <w:pPr>
        <w:spacing w:after="0" w:line="240" w:lineRule="auto"/>
      </w:pPr>
      <w:r>
        <w:continuationSeparator/>
      </w:r>
    </w:p>
  </w:endnote>
  <w:endnote w:type="continuationNotice" w:id="1">
    <w:p w14:paraId="03FAFB24" w14:textId="77777777" w:rsidR="00D41409" w:rsidRDefault="00D414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B858E" w14:textId="000B65C3" w:rsidR="00AB0A2B" w:rsidRDefault="00EA777C" w:rsidP="00EA777C">
    <w:pPr>
      <w:pStyle w:val="Piedepgina"/>
      <w:spacing w:after="0" w:line="240" w:lineRule="auto"/>
      <w:jc w:val="center"/>
      <w:rPr>
        <w:szCs w:val="20"/>
        <w:lang w:val="pt-PT"/>
      </w:rPr>
    </w:pPr>
    <w:r>
      <w:rPr>
        <w:noProof/>
        <w:szCs w:val="20"/>
        <w:lang w:val="pt-PT"/>
      </w:rPr>
      <w:drawing>
        <wp:anchor distT="0" distB="0" distL="114300" distR="114300" simplePos="0" relativeHeight="251659266" behindDoc="0" locked="0" layoutInCell="1" allowOverlap="1" wp14:anchorId="5FC55C04" wp14:editId="06B2C0AC">
          <wp:simplePos x="0" y="0"/>
          <wp:positionH relativeFrom="column">
            <wp:posOffset>2564582</wp:posOffset>
          </wp:positionH>
          <wp:positionV relativeFrom="paragraph">
            <wp:posOffset>222745</wp:posOffset>
          </wp:positionV>
          <wp:extent cx="573405" cy="184785"/>
          <wp:effectExtent l="0" t="0" r="0" b="5715"/>
          <wp:wrapSquare wrapText="bothSides"/>
          <wp:docPr id="1257496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184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0A2B" w:rsidRPr="004A0401">
      <w:rPr>
        <w:szCs w:val="20"/>
        <w:lang w:val="pt-PT"/>
      </w:rPr>
      <w:t>Distribuidor oficial</w:t>
    </w:r>
  </w:p>
  <w:p w14:paraId="753757F0" w14:textId="77777777" w:rsidR="00EA777C" w:rsidRPr="00EA777C" w:rsidRDefault="00EA777C" w:rsidP="00EA777C">
    <w:pPr>
      <w:pStyle w:val="Piedepgina"/>
      <w:spacing w:after="0" w:line="240" w:lineRule="auto"/>
      <w:jc w:val="center"/>
      <w:rPr>
        <w:sz w:val="18"/>
        <w:szCs w:val="18"/>
        <w:lang w:val="pt-PT"/>
      </w:rPr>
    </w:pPr>
  </w:p>
  <w:p w14:paraId="0E0D4E6B" w14:textId="7A3FE399" w:rsidR="00723D90" w:rsidRPr="00AB0A2B" w:rsidRDefault="00AB0A2B" w:rsidP="00EA777C">
    <w:pPr>
      <w:pStyle w:val="Piedepgina"/>
      <w:spacing w:after="0" w:line="240" w:lineRule="auto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9C713" w14:textId="77777777" w:rsidR="00D41409" w:rsidRDefault="00D41409" w:rsidP="00267DAB">
      <w:pPr>
        <w:spacing w:after="0" w:line="240" w:lineRule="auto"/>
      </w:pPr>
      <w:r>
        <w:separator/>
      </w:r>
    </w:p>
  </w:footnote>
  <w:footnote w:type="continuationSeparator" w:id="0">
    <w:p w14:paraId="46F9C2C1" w14:textId="77777777" w:rsidR="00D41409" w:rsidRDefault="00D41409" w:rsidP="00267DAB">
      <w:pPr>
        <w:spacing w:after="0" w:line="240" w:lineRule="auto"/>
      </w:pPr>
      <w:r>
        <w:continuationSeparator/>
      </w:r>
    </w:p>
  </w:footnote>
  <w:footnote w:type="continuationNotice" w:id="1">
    <w:p w14:paraId="0873AAE1" w14:textId="77777777" w:rsidR="00D41409" w:rsidRDefault="00D414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50ABA" w14:textId="76BD19B4" w:rsidR="001B12D6" w:rsidRDefault="00320060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8" behindDoc="0" locked="0" layoutInCell="1" allowOverlap="1" wp14:anchorId="4F901350" wp14:editId="16F2B300">
              <wp:simplePos x="0" y="0"/>
              <wp:positionH relativeFrom="column">
                <wp:posOffset>-8255</wp:posOffset>
              </wp:positionH>
              <wp:positionV relativeFrom="paragraph">
                <wp:posOffset>86780</wp:posOffset>
              </wp:positionV>
              <wp:extent cx="1828800" cy="309880"/>
              <wp:effectExtent l="0" t="0" r="19050" b="1397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9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901E8D" w14:textId="41E252E8" w:rsidR="00320060" w:rsidRPr="00E63B06" w:rsidRDefault="00320060" w:rsidP="00E63B06">
                          <w:pPr>
                            <w:jc w:val="center"/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9013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.65pt;margin-top:6.85pt;width:2in;height:24.4pt;z-index:25166233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">
              <v:textbox>
                <w:txbxContent>
                  <w:p w14:paraId="6E901E8D" w14:textId="41E252E8" w:rsidR="00320060" w:rsidRPr="00E63B06" w:rsidRDefault="00320060" w:rsidP="00E63B06">
                    <w:pPr>
                      <w:jc w:val="center"/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Palatino Linotype" w:hAnsi="Palatino Linotype" w:cs="Arial"/>
        <w:noProof/>
        <w:color w:val="000000" w:themeColor="text1"/>
      </w:rPr>
      <w:drawing>
        <wp:anchor distT="0" distB="0" distL="114300" distR="114300" simplePos="0" relativeHeight="251660290" behindDoc="0" locked="0" layoutInCell="1" allowOverlap="1" wp14:anchorId="55CC0B3F" wp14:editId="2C71718C">
          <wp:simplePos x="0" y="0"/>
          <wp:positionH relativeFrom="column">
            <wp:posOffset>4471261</wp:posOffset>
          </wp:positionH>
          <wp:positionV relativeFrom="paragraph">
            <wp:posOffset>-160827</wp:posOffset>
          </wp:positionV>
          <wp:extent cx="1402080" cy="601901"/>
          <wp:effectExtent l="0" t="0" r="0" b="8255"/>
          <wp:wrapSquare wrapText="bothSides"/>
          <wp:docPr id="189586494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542" b="17523"/>
                  <a:stretch/>
                </pic:blipFill>
                <pic:spPr bwMode="auto">
                  <a:xfrm>
                    <a:off x="0" y="0"/>
                    <a:ext cx="1402080" cy="6019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AB"/>
    <w:rsid w:val="0002726A"/>
    <w:rsid w:val="00040709"/>
    <w:rsid w:val="00060938"/>
    <w:rsid w:val="00071CC8"/>
    <w:rsid w:val="00085006"/>
    <w:rsid w:val="00096CBF"/>
    <w:rsid w:val="000A69E1"/>
    <w:rsid w:val="000B1609"/>
    <w:rsid w:val="000C11CA"/>
    <w:rsid w:val="000C47BB"/>
    <w:rsid w:val="000E4B3D"/>
    <w:rsid w:val="00105879"/>
    <w:rsid w:val="00140D8C"/>
    <w:rsid w:val="0014650D"/>
    <w:rsid w:val="00184C94"/>
    <w:rsid w:val="00194339"/>
    <w:rsid w:val="00195059"/>
    <w:rsid w:val="001A1CD0"/>
    <w:rsid w:val="001B03E0"/>
    <w:rsid w:val="001B12D6"/>
    <w:rsid w:val="001B5E63"/>
    <w:rsid w:val="001C5C00"/>
    <w:rsid w:val="001D1B46"/>
    <w:rsid w:val="001D3758"/>
    <w:rsid w:val="001E0F8A"/>
    <w:rsid w:val="001F1C2B"/>
    <w:rsid w:val="002311AC"/>
    <w:rsid w:val="00236820"/>
    <w:rsid w:val="00267DAB"/>
    <w:rsid w:val="00275C1C"/>
    <w:rsid w:val="00291AC7"/>
    <w:rsid w:val="002A1176"/>
    <w:rsid w:val="002B3A67"/>
    <w:rsid w:val="002D1A82"/>
    <w:rsid w:val="002D2A51"/>
    <w:rsid w:val="00320060"/>
    <w:rsid w:val="003230DE"/>
    <w:rsid w:val="00373AD6"/>
    <w:rsid w:val="003846A3"/>
    <w:rsid w:val="003C222A"/>
    <w:rsid w:val="00405BB8"/>
    <w:rsid w:val="00420CA6"/>
    <w:rsid w:val="00425277"/>
    <w:rsid w:val="00427D33"/>
    <w:rsid w:val="00462968"/>
    <w:rsid w:val="004742E3"/>
    <w:rsid w:val="00485192"/>
    <w:rsid w:val="00486ADD"/>
    <w:rsid w:val="004912F5"/>
    <w:rsid w:val="004D4ADD"/>
    <w:rsid w:val="00507707"/>
    <w:rsid w:val="00517911"/>
    <w:rsid w:val="00526C44"/>
    <w:rsid w:val="00546611"/>
    <w:rsid w:val="00562088"/>
    <w:rsid w:val="005C254E"/>
    <w:rsid w:val="005F0D00"/>
    <w:rsid w:val="005F4FA5"/>
    <w:rsid w:val="006055D7"/>
    <w:rsid w:val="00613F5A"/>
    <w:rsid w:val="0062138B"/>
    <w:rsid w:val="00685D1E"/>
    <w:rsid w:val="006D41D8"/>
    <w:rsid w:val="006E2AAB"/>
    <w:rsid w:val="006E2B07"/>
    <w:rsid w:val="006F78E0"/>
    <w:rsid w:val="007035DB"/>
    <w:rsid w:val="00723D90"/>
    <w:rsid w:val="00724963"/>
    <w:rsid w:val="00736B7D"/>
    <w:rsid w:val="0074669A"/>
    <w:rsid w:val="00746E24"/>
    <w:rsid w:val="00751719"/>
    <w:rsid w:val="00761278"/>
    <w:rsid w:val="007632B1"/>
    <w:rsid w:val="007D5D06"/>
    <w:rsid w:val="007E1E99"/>
    <w:rsid w:val="007F4528"/>
    <w:rsid w:val="007F6619"/>
    <w:rsid w:val="0082016B"/>
    <w:rsid w:val="00846BAE"/>
    <w:rsid w:val="008526A4"/>
    <w:rsid w:val="00861F0C"/>
    <w:rsid w:val="00867F1C"/>
    <w:rsid w:val="00876557"/>
    <w:rsid w:val="00881C7A"/>
    <w:rsid w:val="008A6382"/>
    <w:rsid w:val="008C2A50"/>
    <w:rsid w:val="008E42CD"/>
    <w:rsid w:val="00906CB2"/>
    <w:rsid w:val="009224BA"/>
    <w:rsid w:val="00932B12"/>
    <w:rsid w:val="00943711"/>
    <w:rsid w:val="00967CDF"/>
    <w:rsid w:val="00974D8D"/>
    <w:rsid w:val="00993875"/>
    <w:rsid w:val="009C0E6E"/>
    <w:rsid w:val="009D74EF"/>
    <w:rsid w:val="009E274E"/>
    <w:rsid w:val="009E7B4C"/>
    <w:rsid w:val="00A07394"/>
    <w:rsid w:val="00A1246D"/>
    <w:rsid w:val="00A14B32"/>
    <w:rsid w:val="00A14C30"/>
    <w:rsid w:val="00A258FF"/>
    <w:rsid w:val="00A327FF"/>
    <w:rsid w:val="00A53205"/>
    <w:rsid w:val="00A55E6C"/>
    <w:rsid w:val="00A73E4F"/>
    <w:rsid w:val="00AA34C7"/>
    <w:rsid w:val="00AB0A2B"/>
    <w:rsid w:val="00AC6D27"/>
    <w:rsid w:val="00AD64B7"/>
    <w:rsid w:val="00AF2D1A"/>
    <w:rsid w:val="00AF67B6"/>
    <w:rsid w:val="00AF6866"/>
    <w:rsid w:val="00B31F10"/>
    <w:rsid w:val="00B41632"/>
    <w:rsid w:val="00B4219F"/>
    <w:rsid w:val="00B46AF8"/>
    <w:rsid w:val="00B66EC2"/>
    <w:rsid w:val="00B82A13"/>
    <w:rsid w:val="00BA0E61"/>
    <w:rsid w:val="00BA27AE"/>
    <w:rsid w:val="00BE643A"/>
    <w:rsid w:val="00C0116A"/>
    <w:rsid w:val="00C04006"/>
    <w:rsid w:val="00C13CE5"/>
    <w:rsid w:val="00C52F5B"/>
    <w:rsid w:val="00C8407D"/>
    <w:rsid w:val="00CC6AF4"/>
    <w:rsid w:val="00CE15E9"/>
    <w:rsid w:val="00CE7B88"/>
    <w:rsid w:val="00CE7DE0"/>
    <w:rsid w:val="00D41409"/>
    <w:rsid w:val="00D53B08"/>
    <w:rsid w:val="00D56E18"/>
    <w:rsid w:val="00DA7BFC"/>
    <w:rsid w:val="00DA7FBC"/>
    <w:rsid w:val="00DE089C"/>
    <w:rsid w:val="00DF2FA0"/>
    <w:rsid w:val="00E0341E"/>
    <w:rsid w:val="00E328B9"/>
    <w:rsid w:val="00E4202C"/>
    <w:rsid w:val="00E47D86"/>
    <w:rsid w:val="00E63B06"/>
    <w:rsid w:val="00E70E5A"/>
    <w:rsid w:val="00E71BAE"/>
    <w:rsid w:val="00E75522"/>
    <w:rsid w:val="00EA0A54"/>
    <w:rsid w:val="00EA777C"/>
    <w:rsid w:val="00EB52DB"/>
    <w:rsid w:val="00EC31C8"/>
    <w:rsid w:val="00EC49D2"/>
    <w:rsid w:val="00EE6AE4"/>
    <w:rsid w:val="00EF56ED"/>
    <w:rsid w:val="00F12ABB"/>
    <w:rsid w:val="00F13C38"/>
    <w:rsid w:val="00F14137"/>
    <w:rsid w:val="00F179F7"/>
    <w:rsid w:val="00F21044"/>
    <w:rsid w:val="00F3124B"/>
    <w:rsid w:val="00F337A8"/>
    <w:rsid w:val="00F373A2"/>
    <w:rsid w:val="00F73F7F"/>
    <w:rsid w:val="00F87B63"/>
    <w:rsid w:val="00FC60D5"/>
    <w:rsid w:val="00FD1852"/>
    <w:rsid w:val="00FE11A0"/>
    <w:rsid w:val="00FE69FE"/>
    <w:rsid w:val="00FF6670"/>
    <w:rsid w:val="00FF679D"/>
    <w:rsid w:val="0422D640"/>
    <w:rsid w:val="3F06FB95"/>
    <w:rsid w:val="5783CA27"/>
    <w:rsid w:val="6310257D"/>
    <w:rsid w:val="6899C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50A55"/>
  <w15:chartTrackingRefBased/>
  <w15:docId w15:val="{5247BBC1-DCB9-4B91-B243-30977BD9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C38"/>
    <w:pPr>
      <w:widowControl w:val="0"/>
      <w:wordWrap w:val="0"/>
      <w:autoSpaceDE w:val="0"/>
      <w:autoSpaceDN w:val="0"/>
    </w:pPr>
  </w:style>
  <w:style w:type="paragraph" w:styleId="Ttulo4">
    <w:name w:val="heading 4"/>
    <w:basedOn w:val="Normal"/>
    <w:link w:val="Ttulo4Car"/>
    <w:uiPriority w:val="9"/>
    <w:qFormat/>
    <w:rsid w:val="00486ADD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Gulim" w:eastAsia="Gulim" w:hAnsi="Gulim" w:cs="Gulim"/>
      <w:b/>
      <w:bCs/>
      <w:kern w:val="0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67DAB"/>
  </w:style>
  <w:style w:type="paragraph" w:styleId="Piedepgina">
    <w:name w:val="footer"/>
    <w:basedOn w:val="Normal"/>
    <w:link w:val="Piedepgina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B"/>
  </w:style>
  <w:style w:type="character" w:styleId="Hipervnculo">
    <w:name w:val="Hyperlink"/>
    <w:basedOn w:val="Fuentedeprrafopredeter"/>
    <w:uiPriority w:val="99"/>
    <w:unhideWhenUsed/>
    <w:rsid w:val="00EC31C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E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E6E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69E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86ADD"/>
    <w:rPr>
      <w:rFonts w:ascii="Gulim" w:eastAsia="Gulim" w:hAnsi="Gulim" w:cs="Gulim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8ACA2438-64B9-481D-9431-D0277A6399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B9164-2B6D-45EA-BE54-2656A7C84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932C0-852E-4A58-BD9C-F5D9CEAB2A51}"/>
</file>

<file path=customXml/itemProps4.xml><?xml version="1.0" encoding="utf-8"?>
<ds:datastoreItem xmlns:ds="http://schemas.openxmlformats.org/officeDocument/2006/customXml" ds:itemID="{E25424C7-BBB5-403E-8E3E-EF27FB42F9AB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1376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Links>
    <vt:vector size="18" baseType="variant">
      <vt:variant>
        <vt:i4>7143518</vt:i4>
      </vt:variant>
      <vt:variant>
        <vt:i4>6</vt:i4>
      </vt:variant>
      <vt:variant>
        <vt:i4>0</vt:i4>
      </vt:variant>
      <vt:variant>
        <vt:i4>5</vt:i4>
      </vt:variant>
      <vt:variant>
        <vt:lpwstr>https://www.tiktok.com/@samyanglensglobal</vt:lpwstr>
      </vt:variant>
      <vt:variant>
        <vt:lpwstr/>
      </vt:variant>
      <vt:variant>
        <vt:i4>3604531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http://www.youtube.com/samyanglens</vt:lpwstr>
      </vt:variant>
      <vt:variant>
        <vt:lpwstr/>
      </vt:variant>
      <vt:variant>
        <vt:i4>2752571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https://www.facebook.com/samyanglensglobal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JoMinHee</dc:creator>
  <cp:keywords/>
  <dc:description/>
  <cp:lastModifiedBy>Andrea Velez</cp:lastModifiedBy>
  <cp:revision>24</cp:revision>
  <cp:lastPrinted>2023-08-28T20:18:00Z</cp:lastPrinted>
  <dcterms:created xsi:type="dcterms:W3CDTF">2025-03-03T11:09:00Z</dcterms:created>
  <dcterms:modified xsi:type="dcterms:W3CDTF">2025-03-12T08:30:00Z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898df390-2c04-43df-a68a-c0dbd4f9e770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  <property fmtid="{D5CDD505-2E9C-101B-9397-08002B2CF9AE}" pid="6" name="Peso_x0020_archivo">
    <vt:lpwstr/>
  </property>
</Properties>
</file>